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89" w:rsidRDefault="00C52089" w:rsidP="004A781E"/>
    <w:p w:rsidR="00C52089" w:rsidRDefault="00C52089" w:rsidP="004A781E">
      <w:r>
        <w:t xml:space="preserve">Siendo las 17:00 </w:t>
      </w:r>
      <w:proofErr w:type="spellStart"/>
      <w:r>
        <w:t>hrs</w:t>
      </w:r>
      <w:proofErr w:type="spellEnd"/>
      <w:r>
        <w:t xml:space="preserve"> del martes 27 de agosto del 2019, se reunieron integrantes del Subgrupo de Base jurídica en la sala de juntas del piso 11 alas “b” de la Secretaría de Agricultura y Desarrollo Rural.</w:t>
      </w:r>
    </w:p>
    <w:p w:rsidR="00C52089" w:rsidRDefault="00C52089" w:rsidP="004A781E">
      <w:r>
        <w:t>Estuvieron presentes los siguientes integrantes:</w:t>
      </w:r>
    </w:p>
    <w:p w:rsidR="00C52089" w:rsidRDefault="00C52089" w:rsidP="000C62BB">
      <w:pPr>
        <w:pStyle w:val="Prrafodelista"/>
        <w:numPr>
          <w:ilvl w:val="0"/>
          <w:numId w:val="6"/>
        </w:numPr>
      </w:pPr>
      <w:r>
        <w:t>Amalio Vargas Soto.</w:t>
      </w:r>
    </w:p>
    <w:p w:rsidR="00C52089" w:rsidRDefault="00C52089" w:rsidP="000C62BB">
      <w:pPr>
        <w:pStyle w:val="Prrafodelista"/>
        <w:numPr>
          <w:ilvl w:val="0"/>
          <w:numId w:val="6"/>
        </w:numPr>
      </w:pPr>
      <w:r>
        <w:t>Jaime Castillo Ulloa</w:t>
      </w:r>
    </w:p>
    <w:p w:rsidR="00C52089" w:rsidRDefault="00C52089" w:rsidP="000C62BB">
      <w:pPr>
        <w:pStyle w:val="Prrafodelista"/>
        <w:numPr>
          <w:ilvl w:val="0"/>
          <w:numId w:val="6"/>
        </w:numPr>
      </w:pPr>
      <w:r>
        <w:t xml:space="preserve">Catalina Rodríguez Mendoza y </w:t>
      </w:r>
    </w:p>
    <w:p w:rsidR="00C52089" w:rsidRDefault="00C52089" w:rsidP="000C62BB">
      <w:pPr>
        <w:pStyle w:val="Prrafodelista"/>
        <w:numPr>
          <w:ilvl w:val="0"/>
          <w:numId w:val="6"/>
        </w:numPr>
      </w:pPr>
      <w:r>
        <w:t>Antonio Zamora García</w:t>
      </w:r>
    </w:p>
    <w:p w:rsidR="00C52089" w:rsidRDefault="00C52089" w:rsidP="004A781E"/>
    <w:p w:rsidR="00C52089" w:rsidRPr="000C62BB" w:rsidRDefault="00C52089" w:rsidP="004A781E">
      <w:pPr>
        <w:rPr>
          <w:b/>
        </w:rPr>
      </w:pPr>
      <w:r w:rsidRPr="000C62BB">
        <w:rPr>
          <w:b/>
        </w:rPr>
        <w:t>Todos con un solo punto en la agenda:</w:t>
      </w:r>
    </w:p>
    <w:p w:rsidR="00C52089" w:rsidRDefault="00C52089" w:rsidP="00C52089">
      <w:pPr>
        <w:pStyle w:val="Prrafodelista"/>
        <w:numPr>
          <w:ilvl w:val="0"/>
          <w:numId w:val="1"/>
        </w:numPr>
      </w:pPr>
      <w:r>
        <w:t xml:space="preserve">Revisión de la propuesta de reformas al Reglamento Interno del Consejo Mexicano para el Desarrollo Rural Sustentable presentada por el C. </w:t>
      </w:r>
      <w:r>
        <w:t>Amalio Vargas Soto.</w:t>
      </w:r>
    </w:p>
    <w:p w:rsidR="004A781E" w:rsidRDefault="004A781E" w:rsidP="00C52089">
      <w:pPr>
        <w:pStyle w:val="Prrafodelista"/>
      </w:pPr>
    </w:p>
    <w:p w:rsidR="00950C99" w:rsidRDefault="00C52089">
      <w:r>
        <w:t xml:space="preserve">Se revisó el documento en mención y el grupo acordó que debían empezar por reflexionar sobre los apartados contenidos en el </w:t>
      </w:r>
      <w:r>
        <w:t>actual</w:t>
      </w:r>
      <w:r>
        <w:t xml:space="preserve"> Reglamento. </w:t>
      </w:r>
    </w:p>
    <w:p w:rsidR="00C52089" w:rsidRDefault="00C52089">
      <w:r>
        <w:t>Quedando una primera aproximación conforme a los siguientes cuadros:</w:t>
      </w:r>
    </w:p>
    <w:p w:rsidR="00C52089" w:rsidRPr="00C52089" w:rsidRDefault="00C52089">
      <w:pPr>
        <w:rPr>
          <w:b/>
          <w:sz w:val="36"/>
        </w:rPr>
      </w:pPr>
      <w:r w:rsidRPr="00C52089">
        <w:rPr>
          <w:b/>
          <w:sz w:val="36"/>
        </w:rPr>
        <w:t xml:space="preserve">Dice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6565"/>
      </w:tblGrid>
      <w:tr w:rsidR="00C52089" w:rsidTr="00CB6C3A">
        <w:tc>
          <w:tcPr>
            <w:tcW w:w="1980" w:type="dxa"/>
            <w:tcBorders>
              <w:right w:val="single" w:sz="4" w:space="0" w:color="auto"/>
            </w:tcBorders>
          </w:tcPr>
          <w:p w:rsidR="00C52089" w:rsidRDefault="00C52089" w:rsidP="00CB6C3A">
            <w:r>
              <w:t>Capítulo 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Default="00C52089" w:rsidP="00CB6C3A"/>
        </w:tc>
        <w:tc>
          <w:tcPr>
            <w:tcW w:w="6565" w:type="dxa"/>
            <w:tcBorders>
              <w:left w:val="single" w:sz="4" w:space="0" w:color="auto"/>
            </w:tcBorders>
          </w:tcPr>
          <w:p w:rsidR="00C52089" w:rsidRDefault="00C52089" w:rsidP="00CB6C3A">
            <w:r>
              <w:t>Naturaleza y Objeto del CMDRS.</w:t>
            </w:r>
          </w:p>
        </w:tc>
      </w:tr>
      <w:tr w:rsidR="00C52089" w:rsidRPr="00D577F0" w:rsidTr="00CB6C3A">
        <w:tc>
          <w:tcPr>
            <w:tcW w:w="1980" w:type="dxa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Capítulo 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</w:p>
        </w:tc>
        <w:tc>
          <w:tcPr>
            <w:tcW w:w="6565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De la estructura e integración del CMDRS</w:t>
            </w:r>
          </w:p>
        </w:tc>
      </w:tr>
      <w:tr w:rsidR="00C52089" w:rsidTr="00CB6C3A">
        <w:tc>
          <w:tcPr>
            <w:tcW w:w="1980" w:type="dxa"/>
            <w:tcBorders>
              <w:right w:val="single" w:sz="4" w:space="0" w:color="auto"/>
            </w:tcBorders>
          </w:tcPr>
          <w:p w:rsidR="00C52089" w:rsidRDefault="00C52089" w:rsidP="00CB6C3A">
            <w:r>
              <w:t>Capitulo III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Default="00C52089" w:rsidP="00CB6C3A"/>
        </w:tc>
        <w:tc>
          <w:tcPr>
            <w:tcW w:w="6565" w:type="dxa"/>
            <w:tcBorders>
              <w:left w:val="single" w:sz="4" w:space="0" w:color="auto"/>
            </w:tcBorders>
          </w:tcPr>
          <w:p w:rsidR="00C52089" w:rsidRDefault="00C52089" w:rsidP="00CB6C3A">
            <w:r>
              <w:t>De las funciones del CMDRS</w:t>
            </w:r>
          </w:p>
        </w:tc>
      </w:tr>
      <w:tr w:rsidR="00C52089" w:rsidRPr="00D577F0" w:rsidTr="00CB6C3A">
        <w:tc>
          <w:tcPr>
            <w:tcW w:w="1980" w:type="dxa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Capítulo IV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</w:p>
        </w:tc>
        <w:tc>
          <w:tcPr>
            <w:tcW w:w="6565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 xml:space="preserve">De las funciones del </w:t>
            </w:r>
            <w:proofErr w:type="spellStart"/>
            <w:r w:rsidRPr="00D577F0">
              <w:rPr>
                <w:b/>
                <w:color w:val="FFFFFF" w:themeColor="background1"/>
              </w:rPr>
              <w:t>Pdte</w:t>
            </w:r>
            <w:proofErr w:type="spellEnd"/>
            <w:r w:rsidRPr="00D577F0">
              <w:rPr>
                <w:b/>
                <w:color w:val="FFFFFF" w:themeColor="background1"/>
              </w:rPr>
              <w:t xml:space="preserve"> del CMDRS</w:t>
            </w:r>
          </w:p>
        </w:tc>
      </w:tr>
      <w:tr w:rsidR="00C52089" w:rsidTr="00CB6C3A">
        <w:tc>
          <w:tcPr>
            <w:tcW w:w="1980" w:type="dxa"/>
            <w:tcBorders>
              <w:right w:val="single" w:sz="4" w:space="0" w:color="auto"/>
            </w:tcBorders>
          </w:tcPr>
          <w:p w:rsidR="00C52089" w:rsidRDefault="00C52089" w:rsidP="00CB6C3A">
            <w:r>
              <w:t>Capítulo V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Default="00C52089" w:rsidP="00CB6C3A"/>
        </w:tc>
        <w:tc>
          <w:tcPr>
            <w:tcW w:w="6565" w:type="dxa"/>
            <w:tcBorders>
              <w:left w:val="single" w:sz="4" w:space="0" w:color="auto"/>
            </w:tcBorders>
          </w:tcPr>
          <w:p w:rsidR="00C52089" w:rsidRDefault="00C52089" w:rsidP="00CB6C3A">
            <w:r>
              <w:t>De las funciones del Secretario Técnico del CMDRS</w:t>
            </w:r>
          </w:p>
        </w:tc>
      </w:tr>
      <w:tr w:rsidR="00C52089" w:rsidRPr="00D577F0" w:rsidTr="00CB6C3A">
        <w:tc>
          <w:tcPr>
            <w:tcW w:w="1980" w:type="dxa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Capítulo VI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</w:p>
        </w:tc>
        <w:tc>
          <w:tcPr>
            <w:tcW w:w="6565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De las funciones de los consejeros del CMDRS</w:t>
            </w:r>
          </w:p>
        </w:tc>
      </w:tr>
      <w:tr w:rsidR="00C52089" w:rsidTr="00CB6C3A">
        <w:tc>
          <w:tcPr>
            <w:tcW w:w="1980" w:type="dxa"/>
            <w:tcBorders>
              <w:right w:val="single" w:sz="4" w:space="0" w:color="auto"/>
            </w:tcBorders>
          </w:tcPr>
          <w:p w:rsidR="00C52089" w:rsidRDefault="00C52089" w:rsidP="00CB6C3A">
            <w:r>
              <w:t>Capítulo VII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Default="00C52089" w:rsidP="00CB6C3A"/>
        </w:tc>
        <w:tc>
          <w:tcPr>
            <w:tcW w:w="6565" w:type="dxa"/>
            <w:tcBorders>
              <w:left w:val="single" w:sz="4" w:space="0" w:color="auto"/>
            </w:tcBorders>
          </w:tcPr>
          <w:p w:rsidR="00C52089" w:rsidRDefault="00C52089" w:rsidP="00CB6C3A">
            <w:r>
              <w:t>De las sesiones del CMDRS</w:t>
            </w:r>
          </w:p>
        </w:tc>
      </w:tr>
      <w:tr w:rsidR="00C52089" w:rsidRPr="00D577F0" w:rsidTr="00CB6C3A">
        <w:tc>
          <w:tcPr>
            <w:tcW w:w="1980" w:type="dxa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Capítulo VIII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</w:p>
        </w:tc>
        <w:tc>
          <w:tcPr>
            <w:tcW w:w="6565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De las comisiones de trabajo.</w:t>
            </w:r>
          </w:p>
        </w:tc>
      </w:tr>
      <w:tr w:rsidR="00C52089" w:rsidTr="00CB6C3A">
        <w:tc>
          <w:tcPr>
            <w:tcW w:w="1980" w:type="dxa"/>
            <w:tcBorders>
              <w:right w:val="single" w:sz="4" w:space="0" w:color="auto"/>
            </w:tcBorders>
          </w:tcPr>
          <w:p w:rsidR="00C52089" w:rsidRDefault="00C52089" w:rsidP="00CB6C3A">
            <w:r>
              <w:t>Transitorio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Default="00C52089" w:rsidP="00CB6C3A"/>
        </w:tc>
        <w:tc>
          <w:tcPr>
            <w:tcW w:w="6565" w:type="dxa"/>
            <w:tcBorders>
              <w:left w:val="single" w:sz="4" w:space="0" w:color="auto"/>
            </w:tcBorders>
          </w:tcPr>
          <w:p w:rsidR="00C52089" w:rsidRDefault="00C52089" w:rsidP="00CB6C3A"/>
        </w:tc>
      </w:tr>
    </w:tbl>
    <w:p w:rsidR="00C52089" w:rsidRDefault="00C52089"/>
    <w:p w:rsidR="00C52089" w:rsidRDefault="00C52089"/>
    <w:p w:rsidR="000C62BB" w:rsidRDefault="000C62BB">
      <w:pPr>
        <w:rPr>
          <w:b/>
          <w:sz w:val="36"/>
        </w:rPr>
      </w:pPr>
    </w:p>
    <w:p w:rsidR="00C52089" w:rsidRDefault="00C52089">
      <w:pPr>
        <w:rPr>
          <w:b/>
          <w:sz w:val="36"/>
        </w:rPr>
      </w:pPr>
      <w:r>
        <w:rPr>
          <w:b/>
          <w:sz w:val="36"/>
        </w:rPr>
        <w:lastRenderedPageBreak/>
        <w:t>Propuesta.</w:t>
      </w:r>
    </w:p>
    <w:p w:rsidR="00C52089" w:rsidRDefault="00C52089">
      <w:pPr>
        <w:rPr>
          <w:b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6565"/>
      </w:tblGrid>
      <w:tr w:rsidR="00C52089" w:rsidTr="00CB6C3A">
        <w:tc>
          <w:tcPr>
            <w:tcW w:w="1980" w:type="dxa"/>
            <w:tcBorders>
              <w:right w:val="single" w:sz="4" w:space="0" w:color="auto"/>
            </w:tcBorders>
          </w:tcPr>
          <w:p w:rsidR="00C52089" w:rsidRDefault="00C52089" w:rsidP="00CB6C3A">
            <w:r>
              <w:t>Capítulo 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Default="00C52089" w:rsidP="00CB6C3A"/>
        </w:tc>
        <w:tc>
          <w:tcPr>
            <w:tcW w:w="6565" w:type="dxa"/>
            <w:tcBorders>
              <w:left w:val="single" w:sz="4" w:space="0" w:color="auto"/>
            </w:tcBorders>
          </w:tcPr>
          <w:p w:rsidR="00C52089" w:rsidRDefault="00C52089" w:rsidP="00CB6C3A">
            <w:r>
              <w:t>Naturaleza y Objeto del CMDRS.</w:t>
            </w:r>
          </w:p>
        </w:tc>
      </w:tr>
      <w:tr w:rsidR="00C52089" w:rsidRPr="00D577F0" w:rsidTr="00CB6C3A">
        <w:tc>
          <w:tcPr>
            <w:tcW w:w="1980" w:type="dxa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Capítulo 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</w:p>
        </w:tc>
        <w:tc>
          <w:tcPr>
            <w:tcW w:w="6565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De la estructura e integración del CMDRS</w:t>
            </w:r>
          </w:p>
        </w:tc>
      </w:tr>
      <w:tr w:rsidR="00C52089" w:rsidTr="00CB6C3A">
        <w:tc>
          <w:tcPr>
            <w:tcW w:w="1980" w:type="dxa"/>
            <w:tcBorders>
              <w:right w:val="single" w:sz="4" w:space="0" w:color="auto"/>
            </w:tcBorders>
          </w:tcPr>
          <w:p w:rsidR="00C52089" w:rsidRDefault="00C52089" w:rsidP="00CB6C3A">
            <w:r>
              <w:t>Capitulo III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Default="00C52089" w:rsidP="00CB6C3A"/>
        </w:tc>
        <w:tc>
          <w:tcPr>
            <w:tcW w:w="6565" w:type="dxa"/>
            <w:tcBorders>
              <w:left w:val="single" w:sz="4" w:space="0" w:color="auto"/>
            </w:tcBorders>
          </w:tcPr>
          <w:p w:rsidR="00C52089" w:rsidRDefault="00C52089" w:rsidP="00CB6C3A">
            <w:r>
              <w:t>De las funciones de los integrantes del CMDRS</w:t>
            </w:r>
          </w:p>
          <w:p w:rsidR="00C52089" w:rsidRPr="00997F58" w:rsidRDefault="00C52089" w:rsidP="00C52089">
            <w:pPr>
              <w:pStyle w:val="Prrafodelista"/>
              <w:numPr>
                <w:ilvl w:val="0"/>
                <w:numId w:val="3"/>
              </w:numPr>
            </w:pPr>
            <w:r w:rsidRPr="00997F58">
              <w:rPr>
                <w:b/>
              </w:rPr>
              <w:t xml:space="preserve">De las funciones del </w:t>
            </w:r>
            <w:proofErr w:type="spellStart"/>
            <w:r w:rsidRPr="00997F58">
              <w:rPr>
                <w:b/>
              </w:rPr>
              <w:t>Pdte</w:t>
            </w:r>
            <w:proofErr w:type="spellEnd"/>
            <w:r w:rsidRPr="00997F58">
              <w:rPr>
                <w:b/>
              </w:rPr>
              <w:t xml:space="preserve"> del CMDRS</w:t>
            </w:r>
          </w:p>
          <w:p w:rsidR="00C52089" w:rsidRDefault="00C52089" w:rsidP="00C52089">
            <w:pPr>
              <w:pStyle w:val="Prrafodelista"/>
              <w:numPr>
                <w:ilvl w:val="0"/>
                <w:numId w:val="3"/>
              </w:numPr>
            </w:pPr>
            <w:r>
              <w:t>De las funciones del Secretario Técnico del CMDRS.</w:t>
            </w:r>
          </w:p>
          <w:p w:rsidR="00C52089" w:rsidRDefault="00C52089" w:rsidP="00C52089">
            <w:pPr>
              <w:pStyle w:val="Prrafodelista"/>
              <w:numPr>
                <w:ilvl w:val="0"/>
                <w:numId w:val="3"/>
              </w:numPr>
            </w:pPr>
            <w:r>
              <w:t>De las funciones del secretario consejero.</w:t>
            </w:r>
          </w:p>
          <w:p w:rsidR="00C52089" w:rsidRDefault="00C52089" w:rsidP="00C52089">
            <w:pPr>
              <w:pStyle w:val="Prrafodelista"/>
              <w:numPr>
                <w:ilvl w:val="0"/>
                <w:numId w:val="3"/>
              </w:numPr>
            </w:pPr>
            <w:r w:rsidRPr="00997F58">
              <w:rPr>
                <w:b/>
              </w:rPr>
              <w:t>De las funciones de los consejeros del CMDRS</w:t>
            </w:r>
          </w:p>
        </w:tc>
      </w:tr>
      <w:tr w:rsidR="00C52089" w:rsidRPr="00D577F0" w:rsidTr="00CB6C3A">
        <w:tc>
          <w:tcPr>
            <w:tcW w:w="1980" w:type="dxa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Capítulo IV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</w:p>
        </w:tc>
        <w:tc>
          <w:tcPr>
            <w:tcW w:w="6565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C52089" w:rsidRDefault="00C52089" w:rsidP="00CB6C3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De las comisiones de trabajo.</w:t>
            </w:r>
          </w:p>
          <w:p w:rsidR="00C52089" w:rsidRDefault="00C52089" w:rsidP="00C52089">
            <w:pPr>
              <w:pStyle w:val="Prrafodelista"/>
              <w:numPr>
                <w:ilvl w:val="0"/>
                <w:numId w:val="4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Comisión del </w:t>
            </w:r>
            <w:r w:rsidRPr="00B37E5A">
              <w:rPr>
                <w:b/>
                <w:color w:val="FFFFFF" w:themeColor="background1"/>
              </w:rPr>
              <w:t>Programa Básico de Producción y Comercialización de Productos</w:t>
            </w:r>
            <w:r>
              <w:rPr>
                <w:b/>
                <w:color w:val="FFFFFF" w:themeColor="background1"/>
              </w:rPr>
              <w:t>.</w:t>
            </w:r>
          </w:p>
          <w:p w:rsidR="00C52089" w:rsidRDefault="00C52089" w:rsidP="00C52089">
            <w:pPr>
              <w:pStyle w:val="Prrafodelista"/>
              <w:numPr>
                <w:ilvl w:val="0"/>
                <w:numId w:val="4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Comisión de vinculación entre consejos, sistemas y servicios.</w:t>
            </w:r>
          </w:p>
          <w:p w:rsidR="00C52089" w:rsidRPr="004E64FA" w:rsidRDefault="00C52089" w:rsidP="00C52089">
            <w:pPr>
              <w:pStyle w:val="Prrafodelista"/>
              <w:numPr>
                <w:ilvl w:val="0"/>
                <w:numId w:val="4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Una que tenga relación con la equidad de genero</w:t>
            </w:r>
          </w:p>
        </w:tc>
      </w:tr>
      <w:tr w:rsidR="00C52089" w:rsidTr="00CB6C3A">
        <w:tc>
          <w:tcPr>
            <w:tcW w:w="1980" w:type="dxa"/>
            <w:tcBorders>
              <w:right w:val="single" w:sz="4" w:space="0" w:color="auto"/>
            </w:tcBorders>
          </w:tcPr>
          <w:p w:rsidR="00C52089" w:rsidRDefault="00C52089" w:rsidP="00CB6C3A">
            <w:r>
              <w:t>Capítulo V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Default="00C52089" w:rsidP="00CB6C3A"/>
        </w:tc>
        <w:tc>
          <w:tcPr>
            <w:tcW w:w="6565" w:type="dxa"/>
            <w:tcBorders>
              <w:left w:val="single" w:sz="4" w:space="0" w:color="auto"/>
            </w:tcBorders>
          </w:tcPr>
          <w:p w:rsidR="00C52089" w:rsidRDefault="00C52089" w:rsidP="00CB6C3A"/>
        </w:tc>
      </w:tr>
      <w:tr w:rsidR="00C52089" w:rsidRPr="00D577F0" w:rsidTr="00CB6C3A">
        <w:tc>
          <w:tcPr>
            <w:tcW w:w="1980" w:type="dxa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Capítulo VI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</w:p>
        </w:tc>
        <w:tc>
          <w:tcPr>
            <w:tcW w:w="6565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</w:p>
        </w:tc>
      </w:tr>
      <w:tr w:rsidR="00C52089" w:rsidTr="00CB6C3A">
        <w:tc>
          <w:tcPr>
            <w:tcW w:w="1980" w:type="dxa"/>
            <w:tcBorders>
              <w:right w:val="single" w:sz="4" w:space="0" w:color="auto"/>
            </w:tcBorders>
          </w:tcPr>
          <w:p w:rsidR="00C52089" w:rsidRDefault="00C52089" w:rsidP="00CB6C3A">
            <w:r>
              <w:t>Capítulo VII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Default="00C52089" w:rsidP="00CB6C3A"/>
        </w:tc>
        <w:tc>
          <w:tcPr>
            <w:tcW w:w="6565" w:type="dxa"/>
            <w:tcBorders>
              <w:left w:val="single" w:sz="4" w:space="0" w:color="auto"/>
            </w:tcBorders>
          </w:tcPr>
          <w:p w:rsidR="00C52089" w:rsidRDefault="00C52089" w:rsidP="00CB6C3A">
            <w:r>
              <w:t>De las sesiones del CMDRS</w:t>
            </w:r>
          </w:p>
        </w:tc>
      </w:tr>
      <w:tr w:rsidR="00C52089" w:rsidRPr="00D577F0" w:rsidTr="00CB6C3A">
        <w:tc>
          <w:tcPr>
            <w:tcW w:w="1980" w:type="dxa"/>
            <w:tcBorders>
              <w:right w:val="single" w:sz="4" w:space="0" w:color="auto"/>
            </w:tcBorders>
            <w:shd w:val="clear" w:color="auto" w:fill="BF8F00" w:themeFill="accent4" w:themeFillShade="BF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  <w:r w:rsidRPr="00D577F0">
              <w:rPr>
                <w:b/>
                <w:color w:val="FFFFFF" w:themeColor="background1"/>
              </w:rPr>
              <w:t>Capítulo VIII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</w:p>
        </w:tc>
        <w:tc>
          <w:tcPr>
            <w:tcW w:w="6565" w:type="dxa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C52089" w:rsidRPr="00D577F0" w:rsidRDefault="00C52089" w:rsidP="00CB6C3A">
            <w:pPr>
              <w:rPr>
                <w:b/>
                <w:color w:val="FFFFFF" w:themeColor="background1"/>
              </w:rPr>
            </w:pPr>
          </w:p>
        </w:tc>
      </w:tr>
      <w:tr w:rsidR="00C52089" w:rsidTr="00CB6C3A">
        <w:tc>
          <w:tcPr>
            <w:tcW w:w="1980" w:type="dxa"/>
            <w:tcBorders>
              <w:right w:val="single" w:sz="4" w:space="0" w:color="auto"/>
            </w:tcBorders>
          </w:tcPr>
          <w:p w:rsidR="00C52089" w:rsidRDefault="00C52089" w:rsidP="00CB6C3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52089" w:rsidRDefault="00C52089" w:rsidP="00CB6C3A"/>
        </w:tc>
        <w:tc>
          <w:tcPr>
            <w:tcW w:w="6565" w:type="dxa"/>
            <w:tcBorders>
              <w:left w:val="single" w:sz="4" w:space="0" w:color="auto"/>
            </w:tcBorders>
          </w:tcPr>
          <w:p w:rsidR="00C52089" w:rsidRDefault="00C52089" w:rsidP="00CB6C3A">
            <w:r w:rsidRPr="003D039A">
              <w:t>De pérdida de la calidad de integrante del consejo mexicano</w:t>
            </w:r>
          </w:p>
          <w:p w:rsidR="00C52089" w:rsidRDefault="00C52089" w:rsidP="00CB6C3A">
            <w:r>
              <w:t>Insertar causales de exclusión.</w:t>
            </w:r>
          </w:p>
        </w:tc>
      </w:tr>
    </w:tbl>
    <w:p w:rsidR="00C52089" w:rsidRDefault="00C52089"/>
    <w:p w:rsidR="00C52089" w:rsidRDefault="00C52089" w:rsidP="000C62BB">
      <w:pPr>
        <w:jc w:val="center"/>
      </w:pPr>
      <w:r>
        <w:t xml:space="preserve">Al final del tiempo dedicado a la reunión de trabajo el grupo llegó a los siguientes </w:t>
      </w:r>
      <w:r w:rsidR="000C62BB" w:rsidRPr="000C62BB">
        <w:rPr>
          <w:b/>
          <w:sz w:val="40"/>
        </w:rPr>
        <w:t>A</w:t>
      </w:r>
      <w:r w:rsidRPr="000C62BB">
        <w:rPr>
          <w:b/>
          <w:sz w:val="40"/>
        </w:rPr>
        <w:t>cuerdos:</w:t>
      </w:r>
    </w:p>
    <w:p w:rsidR="00C52089" w:rsidRDefault="00C52089"/>
    <w:p w:rsidR="00C52089" w:rsidRDefault="00C52089" w:rsidP="00C52089">
      <w:pPr>
        <w:pStyle w:val="Prrafodelista"/>
        <w:numPr>
          <w:ilvl w:val="0"/>
          <w:numId w:val="5"/>
        </w:numPr>
      </w:pPr>
      <w:r>
        <w:t xml:space="preserve">Se ratifica la negativa a </w:t>
      </w:r>
      <w:r>
        <w:t>modifica</w:t>
      </w:r>
      <w:r>
        <w:t>r</w:t>
      </w:r>
      <w:r>
        <w:t xml:space="preserve"> la L</w:t>
      </w:r>
      <w:r>
        <w:t xml:space="preserve">ey de </w:t>
      </w:r>
      <w:r>
        <w:t>D</w:t>
      </w:r>
      <w:r>
        <w:t xml:space="preserve">esarrollo </w:t>
      </w:r>
      <w:r>
        <w:t>R</w:t>
      </w:r>
      <w:r>
        <w:t xml:space="preserve">ural </w:t>
      </w:r>
      <w:r>
        <w:t>S</w:t>
      </w:r>
      <w:r>
        <w:t>ustentable</w:t>
      </w:r>
      <w:r>
        <w:t>.</w:t>
      </w:r>
    </w:p>
    <w:p w:rsidR="00C52089" w:rsidRDefault="00C52089" w:rsidP="00C52089">
      <w:pPr>
        <w:pStyle w:val="Prrafodelista"/>
        <w:numPr>
          <w:ilvl w:val="0"/>
          <w:numId w:val="5"/>
        </w:numPr>
      </w:pPr>
      <w:r>
        <w:t xml:space="preserve">Se propone </w:t>
      </w:r>
      <w:r>
        <w:t xml:space="preserve">trabajar en </w:t>
      </w:r>
      <w:r>
        <w:t xml:space="preserve">una </w:t>
      </w:r>
      <w:r>
        <w:t xml:space="preserve">nueva </w:t>
      </w:r>
      <w:r>
        <w:t>estructura del Reglamento del CMDRS.</w:t>
      </w:r>
    </w:p>
    <w:p w:rsidR="00C52089" w:rsidRDefault="00C52089" w:rsidP="00C52089">
      <w:pPr>
        <w:pStyle w:val="Prrafodelista"/>
        <w:numPr>
          <w:ilvl w:val="0"/>
          <w:numId w:val="5"/>
        </w:numPr>
      </w:pPr>
      <w:r>
        <w:t>Se adiciona un apartado para incluir a nivel de reglamento, la inserción de causales de exclusión de integrantes del CMDRS, ahora definidos en los lineamientos.</w:t>
      </w:r>
    </w:p>
    <w:p w:rsidR="00C52089" w:rsidRDefault="00C52089" w:rsidP="00C52089">
      <w:pPr>
        <w:pStyle w:val="Prrafodelista"/>
        <w:numPr>
          <w:ilvl w:val="0"/>
          <w:numId w:val="5"/>
        </w:numPr>
      </w:pPr>
      <w:r>
        <w:t xml:space="preserve"> </w:t>
      </w:r>
      <w:r w:rsidR="00B32FDC">
        <w:t xml:space="preserve">Se acuerda continuar con la reunión de trabajo el próximo jueves a las 17:00 </w:t>
      </w:r>
      <w:proofErr w:type="spellStart"/>
      <w:r w:rsidR="00B32FDC">
        <w:t>hrs</w:t>
      </w:r>
      <w:proofErr w:type="spellEnd"/>
      <w:r w:rsidR="00B32FDC">
        <w:t xml:space="preserve"> </w:t>
      </w:r>
    </w:p>
    <w:p w:rsidR="00B32FDC" w:rsidRDefault="00B32FDC" w:rsidP="00C52089">
      <w:pPr>
        <w:pStyle w:val="Prrafodelista"/>
        <w:numPr>
          <w:ilvl w:val="0"/>
          <w:numId w:val="5"/>
        </w:numPr>
      </w:pPr>
      <w:r>
        <w:t xml:space="preserve">El LC Antonio Zamora García se compromete a hacer llegar minuta de la </w:t>
      </w:r>
      <w:r w:rsidR="00F963A9">
        <w:t>presente reuni</w:t>
      </w:r>
      <w:r>
        <w:t>ó</w:t>
      </w:r>
      <w:r w:rsidR="00F963A9">
        <w:t xml:space="preserve">n para ser signado  el </w:t>
      </w:r>
      <w:r>
        <w:t xml:space="preserve">  </w:t>
      </w:r>
      <w:r w:rsidR="00F963A9">
        <w:t>jueves 29 de agosto.</w:t>
      </w:r>
    </w:p>
    <w:p w:rsidR="00F963A9" w:rsidRDefault="00F963A9" w:rsidP="00C52089">
      <w:pPr>
        <w:pStyle w:val="Prrafodelista"/>
        <w:numPr>
          <w:ilvl w:val="0"/>
          <w:numId w:val="5"/>
        </w:numPr>
      </w:pPr>
      <w:r>
        <w:t>Cierre.</w:t>
      </w:r>
    </w:p>
    <w:p w:rsidR="00C52089" w:rsidRDefault="00C52089"/>
    <w:tbl>
      <w:tblPr>
        <w:tblStyle w:val="Tablaconcuadrcula"/>
        <w:tblW w:w="10206" w:type="dxa"/>
        <w:tblLayout w:type="fixed"/>
        <w:tblLook w:val="04A0" w:firstRow="1" w:lastRow="0" w:firstColumn="1" w:lastColumn="0" w:noHBand="0" w:noVBand="1"/>
      </w:tblPr>
      <w:tblGrid>
        <w:gridCol w:w="1696"/>
        <w:gridCol w:w="3832"/>
        <w:gridCol w:w="2410"/>
        <w:gridCol w:w="2268"/>
      </w:tblGrid>
      <w:tr w:rsidR="000C62BB" w:rsidRPr="000C62BB" w:rsidTr="000C62BB">
        <w:trPr>
          <w:trHeight w:val="714"/>
        </w:trPr>
        <w:tc>
          <w:tcPr>
            <w:tcW w:w="1696" w:type="dxa"/>
            <w:shd w:val="clear" w:color="auto" w:fill="525252" w:themeFill="accent3" w:themeFillShade="80"/>
            <w:vAlign w:val="center"/>
          </w:tcPr>
          <w:p w:rsidR="000C62BB" w:rsidRPr="000C62BB" w:rsidRDefault="000C62BB" w:rsidP="000C62BB">
            <w:pPr>
              <w:jc w:val="center"/>
              <w:rPr>
                <w:b/>
                <w:color w:val="FFFFFF" w:themeColor="background1"/>
              </w:rPr>
            </w:pPr>
            <w:r w:rsidRPr="000C62BB">
              <w:rPr>
                <w:b/>
                <w:color w:val="FFFFFF" w:themeColor="background1"/>
              </w:rPr>
              <w:t>Institución</w:t>
            </w:r>
          </w:p>
        </w:tc>
        <w:tc>
          <w:tcPr>
            <w:tcW w:w="3832" w:type="dxa"/>
            <w:shd w:val="clear" w:color="auto" w:fill="525252" w:themeFill="accent3" w:themeFillShade="80"/>
            <w:vAlign w:val="center"/>
          </w:tcPr>
          <w:p w:rsidR="000C62BB" w:rsidRPr="000C62BB" w:rsidRDefault="000C62BB" w:rsidP="000C62BB">
            <w:pPr>
              <w:jc w:val="center"/>
              <w:rPr>
                <w:b/>
                <w:color w:val="FFFFFF" w:themeColor="background1"/>
              </w:rPr>
            </w:pPr>
            <w:r w:rsidRPr="000C62BB">
              <w:rPr>
                <w:b/>
                <w:color w:val="FFFFFF" w:themeColor="background1"/>
              </w:rPr>
              <w:t>Nombre</w:t>
            </w:r>
          </w:p>
        </w:tc>
        <w:tc>
          <w:tcPr>
            <w:tcW w:w="2410" w:type="dxa"/>
            <w:shd w:val="clear" w:color="auto" w:fill="525252" w:themeFill="accent3" w:themeFillShade="80"/>
            <w:vAlign w:val="center"/>
          </w:tcPr>
          <w:p w:rsidR="000C62BB" w:rsidRPr="000C62BB" w:rsidRDefault="000C62BB" w:rsidP="000C62BB">
            <w:pPr>
              <w:jc w:val="center"/>
              <w:rPr>
                <w:b/>
                <w:color w:val="FFFFFF" w:themeColor="background1"/>
              </w:rPr>
            </w:pPr>
            <w:r w:rsidRPr="000C62BB">
              <w:rPr>
                <w:b/>
                <w:color w:val="FFFFFF" w:themeColor="background1"/>
              </w:rPr>
              <w:t>Cargo.</w:t>
            </w:r>
          </w:p>
        </w:tc>
        <w:tc>
          <w:tcPr>
            <w:tcW w:w="2268" w:type="dxa"/>
            <w:shd w:val="clear" w:color="auto" w:fill="525252" w:themeFill="accent3" w:themeFillShade="80"/>
            <w:vAlign w:val="center"/>
          </w:tcPr>
          <w:p w:rsidR="000C62BB" w:rsidRPr="000C62BB" w:rsidRDefault="000C62BB" w:rsidP="000C62BB">
            <w:pPr>
              <w:jc w:val="center"/>
              <w:rPr>
                <w:b/>
                <w:color w:val="FFFFFF" w:themeColor="background1"/>
              </w:rPr>
            </w:pPr>
            <w:r w:rsidRPr="000C62BB">
              <w:rPr>
                <w:b/>
                <w:color w:val="FFFFFF" w:themeColor="background1"/>
              </w:rPr>
              <w:t>Firma</w:t>
            </w:r>
          </w:p>
        </w:tc>
      </w:tr>
      <w:tr w:rsidR="000C62BB" w:rsidTr="000C62BB">
        <w:trPr>
          <w:trHeight w:val="1020"/>
        </w:trPr>
        <w:tc>
          <w:tcPr>
            <w:tcW w:w="1696" w:type="dxa"/>
            <w:vAlign w:val="center"/>
          </w:tcPr>
          <w:p w:rsidR="000C62BB" w:rsidRDefault="000C62BB" w:rsidP="000C62BB">
            <w:pPr>
              <w:jc w:val="center"/>
            </w:pPr>
            <w:r>
              <w:t>CMDRS</w:t>
            </w:r>
          </w:p>
        </w:tc>
        <w:tc>
          <w:tcPr>
            <w:tcW w:w="3832" w:type="dxa"/>
            <w:vAlign w:val="center"/>
          </w:tcPr>
          <w:p w:rsidR="000C62BB" w:rsidRPr="00382A6A" w:rsidRDefault="000C62BB" w:rsidP="000C62BB">
            <w:r w:rsidRPr="00382A6A">
              <w:t>Amalio Vargas Soto.</w:t>
            </w:r>
          </w:p>
        </w:tc>
        <w:tc>
          <w:tcPr>
            <w:tcW w:w="2410" w:type="dxa"/>
            <w:vAlign w:val="center"/>
          </w:tcPr>
          <w:p w:rsidR="000C62BB" w:rsidRDefault="000C62BB" w:rsidP="000C62BB">
            <w:r>
              <w:t>Consejero</w:t>
            </w:r>
          </w:p>
        </w:tc>
        <w:tc>
          <w:tcPr>
            <w:tcW w:w="2268" w:type="dxa"/>
          </w:tcPr>
          <w:p w:rsidR="000C62BB" w:rsidRDefault="000C62BB" w:rsidP="000C62BB"/>
        </w:tc>
      </w:tr>
      <w:tr w:rsidR="000C62BB" w:rsidTr="000C62BB">
        <w:trPr>
          <w:trHeight w:val="1020"/>
        </w:trPr>
        <w:tc>
          <w:tcPr>
            <w:tcW w:w="1696" w:type="dxa"/>
            <w:vAlign w:val="center"/>
          </w:tcPr>
          <w:p w:rsidR="000C62BB" w:rsidRDefault="000C62BB" w:rsidP="000C62BB">
            <w:pPr>
              <w:jc w:val="center"/>
            </w:pPr>
            <w:r>
              <w:t>CMDRS</w:t>
            </w:r>
          </w:p>
        </w:tc>
        <w:tc>
          <w:tcPr>
            <w:tcW w:w="3832" w:type="dxa"/>
            <w:vAlign w:val="center"/>
          </w:tcPr>
          <w:p w:rsidR="000C62BB" w:rsidRPr="00382A6A" w:rsidRDefault="000C62BB" w:rsidP="000C62BB">
            <w:r w:rsidRPr="00382A6A">
              <w:t>Jaime Castillo Ulloa</w:t>
            </w:r>
          </w:p>
        </w:tc>
        <w:tc>
          <w:tcPr>
            <w:tcW w:w="2410" w:type="dxa"/>
            <w:vAlign w:val="center"/>
          </w:tcPr>
          <w:p w:rsidR="000C62BB" w:rsidRDefault="000C62BB" w:rsidP="000C62BB">
            <w:r>
              <w:t>Consejero</w:t>
            </w:r>
          </w:p>
        </w:tc>
        <w:tc>
          <w:tcPr>
            <w:tcW w:w="2268" w:type="dxa"/>
          </w:tcPr>
          <w:p w:rsidR="000C62BB" w:rsidRDefault="000C62BB" w:rsidP="000C62BB"/>
        </w:tc>
      </w:tr>
      <w:tr w:rsidR="000C62BB" w:rsidTr="000C62BB">
        <w:trPr>
          <w:trHeight w:val="1020"/>
        </w:trPr>
        <w:tc>
          <w:tcPr>
            <w:tcW w:w="1696" w:type="dxa"/>
            <w:vAlign w:val="center"/>
          </w:tcPr>
          <w:p w:rsidR="000C62BB" w:rsidRDefault="000C62BB" w:rsidP="000C62BB">
            <w:pPr>
              <w:jc w:val="center"/>
            </w:pPr>
            <w:r>
              <w:t>SADER</w:t>
            </w:r>
          </w:p>
        </w:tc>
        <w:tc>
          <w:tcPr>
            <w:tcW w:w="3832" w:type="dxa"/>
            <w:vAlign w:val="center"/>
          </w:tcPr>
          <w:p w:rsidR="000C62BB" w:rsidRDefault="000C62BB" w:rsidP="000C62BB">
            <w:r w:rsidRPr="00382A6A">
              <w:t>Catalina Rodríguez Mendoza</w:t>
            </w:r>
          </w:p>
          <w:p w:rsidR="000C62BB" w:rsidRPr="00382A6A" w:rsidRDefault="000C62BB" w:rsidP="000C62BB"/>
        </w:tc>
        <w:tc>
          <w:tcPr>
            <w:tcW w:w="2410" w:type="dxa"/>
            <w:vAlign w:val="center"/>
          </w:tcPr>
          <w:p w:rsidR="000C62BB" w:rsidRDefault="000C62BB" w:rsidP="000C62BB">
            <w:r>
              <w:t>Subdirector de la Coord. Enlace Sectorial</w:t>
            </w:r>
          </w:p>
        </w:tc>
        <w:tc>
          <w:tcPr>
            <w:tcW w:w="2268" w:type="dxa"/>
          </w:tcPr>
          <w:p w:rsidR="000C62BB" w:rsidRDefault="000C62BB" w:rsidP="000C62BB"/>
        </w:tc>
      </w:tr>
      <w:tr w:rsidR="000C62BB" w:rsidTr="000C62BB">
        <w:trPr>
          <w:trHeight w:val="1020"/>
        </w:trPr>
        <w:tc>
          <w:tcPr>
            <w:tcW w:w="1696" w:type="dxa"/>
            <w:vAlign w:val="center"/>
          </w:tcPr>
          <w:p w:rsidR="000C62BB" w:rsidRDefault="000C62BB" w:rsidP="000C62BB">
            <w:pPr>
              <w:jc w:val="center"/>
            </w:pPr>
            <w:r>
              <w:t>SADER</w:t>
            </w:r>
          </w:p>
        </w:tc>
        <w:tc>
          <w:tcPr>
            <w:tcW w:w="3832" w:type="dxa"/>
            <w:vAlign w:val="center"/>
          </w:tcPr>
          <w:p w:rsidR="000C62BB" w:rsidRDefault="000C62BB" w:rsidP="000C62BB">
            <w:r w:rsidRPr="00382A6A">
              <w:t>Antonio Zamora García</w:t>
            </w:r>
          </w:p>
          <w:p w:rsidR="000C62BB" w:rsidRPr="00382A6A" w:rsidRDefault="000C62BB" w:rsidP="000C62BB"/>
        </w:tc>
        <w:tc>
          <w:tcPr>
            <w:tcW w:w="2410" w:type="dxa"/>
            <w:vAlign w:val="center"/>
          </w:tcPr>
          <w:p w:rsidR="000C62BB" w:rsidRDefault="000C62BB" w:rsidP="000C62BB">
            <w:r>
              <w:t xml:space="preserve">Subdirector de la Coord. </w:t>
            </w:r>
            <w:proofErr w:type="spellStart"/>
            <w:r>
              <w:t>Gral</w:t>
            </w:r>
            <w:proofErr w:type="spellEnd"/>
            <w:r>
              <w:t xml:space="preserve"> de Delega</w:t>
            </w:r>
            <w:bookmarkStart w:id="0" w:name="_GoBack"/>
            <w:bookmarkEnd w:id="0"/>
            <w:r>
              <w:t>ciones</w:t>
            </w:r>
          </w:p>
        </w:tc>
        <w:tc>
          <w:tcPr>
            <w:tcW w:w="2268" w:type="dxa"/>
          </w:tcPr>
          <w:p w:rsidR="000C62BB" w:rsidRDefault="000C62BB" w:rsidP="000C62BB"/>
        </w:tc>
      </w:tr>
    </w:tbl>
    <w:p w:rsidR="000C62BB" w:rsidRDefault="000C62BB"/>
    <w:p w:rsidR="000C62BB" w:rsidRDefault="000C62BB"/>
    <w:sectPr w:rsidR="000C62BB" w:rsidSect="004A781E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36" w:rsidRDefault="00AD0636" w:rsidP="00F963A9">
      <w:pPr>
        <w:spacing w:after="0" w:line="240" w:lineRule="auto"/>
      </w:pPr>
      <w:r>
        <w:separator/>
      </w:r>
    </w:p>
  </w:endnote>
  <w:endnote w:type="continuationSeparator" w:id="0">
    <w:p w:rsidR="00AD0636" w:rsidRDefault="00AD0636" w:rsidP="00F9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163878"/>
      <w:docPartObj>
        <w:docPartGallery w:val="Page Numbers (Bottom of Page)"/>
        <w:docPartUnique/>
      </w:docPartObj>
    </w:sdtPr>
    <w:sdtEndPr>
      <w:rPr>
        <w:b/>
        <w:color w:val="BF8F00" w:themeColor="accent4" w:themeShade="BF"/>
      </w:rPr>
    </w:sdtEndPr>
    <w:sdtContent>
      <w:p w:rsidR="00F963A9" w:rsidRPr="00F963A9" w:rsidRDefault="00F963A9">
        <w:pPr>
          <w:pStyle w:val="Piedepgina"/>
          <w:jc w:val="right"/>
          <w:rPr>
            <w:b/>
            <w:color w:val="BF8F00" w:themeColor="accent4" w:themeShade="BF"/>
          </w:rPr>
        </w:pPr>
        <w:r w:rsidRPr="00F963A9">
          <w:rPr>
            <w:b/>
            <w:color w:val="BF8F00" w:themeColor="accent4" w:themeShade="BF"/>
          </w:rPr>
          <w:fldChar w:fldCharType="begin"/>
        </w:r>
        <w:r w:rsidRPr="00F963A9">
          <w:rPr>
            <w:b/>
            <w:color w:val="BF8F00" w:themeColor="accent4" w:themeShade="BF"/>
          </w:rPr>
          <w:instrText>PAGE   \* MERGEFORMAT</w:instrText>
        </w:r>
        <w:r w:rsidRPr="00F963A9">
          <w:rPr>
            <w:b/>
            <w:color w:val="BF8F00" w:themeColor="accent4" w:themeShade="BF"/>
          </w:rPr>
          <w:fldChar w:fldCharType="separate"/>
        </w:r>
        <w:r w:rsidR="000C62BB" w:rsidRPr="000C62BB">
          <w:rPr>
            <w:b/>
            <w:noProof/>
            <w:color w:val="BF8F00" w:themeColor="accent4" w:themeShade="BF"/>
            <w:lang w:val="es-ES"/>
          </w:rPr>
          <w:t>1</w:t>
        </w:r>
        <w:r w:rsidRPr="00F963A9">
          <w:rPr>
            <w:b/>
            <w:color w:val="BF8F00" w:themeColor="accent4" w:themeShade="BF"/>
          </w:rPr>
          <w:fldChar w:fldCharType="end"/>
        </w:r>
      </w:p>
    </w:sdtContent>
  </w:sdt>
  <w:p w:rsidR="00F963A9" w:rsidRDefault="00F963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36" w:rsidRDefault="00AD0636" w:rsidP="00F963A9">
      <w:pPr>
        <w:spacing w:after="0" w:line="240" w:lineRule="auto"/>
      </w:pPr>
      <w:r>
        <w:separator/>
      </w:r>
    </w:p>
  </w:footnote>
  <w:footnote w:type="continuationSeparator" w:id="0">
    <w:p w:rsidR="00AD0636" w:rsidRDefault="00AD0636" w:rsidP="00F9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3A9" w:rsidRPr="00F963A9" w:rsidRDefault="00F963A9" w:rsidP="00F963A9">
    <w:pPr>
      <w:jc w:val="center"/>
      <w:rPr>
        <w:b/>
        <w:sz w:val="32"/>
      </w:rPr>
    </w:pPr>
    <w:r w:rsidRPr="00F963A9">
      <w:rPr>
        <w:b/>
        <w:sz w:val="32"/>
      </w:rPr>
      <w:t>3ª. Reunión de trabajo del subgrupo de Base Jurídica.</w:t>
    </w:r>
  </w:p>
  <w:p w:rsidR="00F963A9" w:rsidRPr="00F963A9" w:rsidRDefault="00F963A9" w:rsidP="00F963A9">
    <w:pPr>
      <w:jc w:val="right"/>
    </w:pPr>
    <w:r w:rsidRPr="00F963A9">
      <w:t>Martes 27 de agosto del 2019.</w:t>
    </w:r>
  </w:p>
  <w:p w:rsidR="00F963A9" w:rsidRDefault="00F963A9">
    <w:pPr>
      <w:pStyle w:val="Encabezado"/>
    </w:pPr>
  </w:p>
  <w:p w:rsidR="00F963A9" w:rsidRDefault="00F963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885"/>
    <w:multiLevelType w:val="hybridMultilevel"/>
    <w:tmpl w:val="665EA1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12C2"/>
    <w:multiLevelType w:val="hybridMultilevel"/>
    <w:tmpl w:val="21FE7A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4AC8"/>
    <w:multiLevelType w:val="hybridMultilevel"/>
    <w:tmpl w:val="526A23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120B1"/>
    <w:multiLevelType w:val="hybridMultilevel"/>
    <w:tmpl w:val="0D0CE4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2540D"/>
    <w:multiLevelType w:val="hybridMultilevel"/>
    <w:tmpl w:val="817E2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27CC8"/>
    <w:multiLevelType w:val="hybridMultilevel"/>
    <w:tmpl w:val="7CA8B2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1E"/>
    <w:rsid w:val="000C62BB"/>
    <w:rsid w:val="004528B8"/>
    <w:rsid w:val="004A781E"/>
    <w:rsid w:val="00950C99"/>
    <w:rsid w:val="00AD0636"/>
    <w:rsid w:val="00B32FDC"/>
    <w:rsid w:val="00C52089"/>
    <w:rsid w:val="00D62DFA"/>
    <w:rsid w:val="00F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4CBB5-4461-4258-A977-7EDC1EB2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Calibri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78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2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6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3A9"/>
  </w:style>
  <w:style w:type="paragraph" w:styleId="Piedepgina">
    <w:name w:val="footer"/>
    <w:basedOn w:val="Normal"/>
    <w:link w:val="PiedepginaCar"/>
    <w:uiPriority w:val="99"/>
    <w:unhideWhenUsed/>
    <w:rsid w:val="00F96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BF"/>
    <w:rsid w:val="00C441BF"/>
    <w:rsid w:val="00F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FDF28EC71A4F1CAFF595438EEFDE39">
    <w:name w:val="12FDF28EC71A4F1CAFF595438EEFDE39"/>
    <w:rsid w:val="00C44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Zamora Garcia</dc:creator>
  <cp:keywords/>
  <dc:description/>
  <cp:lastModifiedBy>Antonio Zamora Garcia</cp:lastModifiedBy>
  <cp:revision>6</cp:revision>
  <dcterms:created xsi:type="dcterms:W3CDTF">2019-08-28T21:33:00Z</dcterms:created>
  <dcterms:modified xsi:type="dcterms:W3CDTF">2019-08-28T23:08:00Z</dcterms:modified>
</cp:coreProperties>
</file>