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3E" w:rsidRPr="005B333E" w:rsidRDefault="005B333E" w:rsidP="005B333E">
      <w:pPr>
        <w:jc w:val="right"/>
        <w:rPr>
          <w:rFonts w:ascii="Times New Roman" w:hAnsi="Times New Roman" w:cs="Times New Roman"/>
          <w:sz w:val="24"/>
          <w:szCs w:val="24"/>
        </w:rPr>
      </w:pPr>
      <w:bookmarkStart w:id="0" w:name="_GoBack"/>
      <w:bookmarkEnd w:id="0"/>
      <w:r w:rsidRPr="005B333E">
        <w:rPr>
          <w:rFonts w:ascii="Times New Roman" w:hAnsi="Times New Roman" w:cs="Times New Roman"/>
          <w:sz w:val="24"/>
          <w:szCs w:val="24"/>
        </w:rPr>
        <w:t xml:space="preserve">Ciudad de México, a </w:t>
      </w:r>
      <w:r w:rsidR="00FD3440">
        <w:rPr>
          <w:rFonts w:ascii="Times New Roman" w:hAnsi="Times New Roman" w:cs="Times New Roman"/>
          <w:sz w:val="24"/>
          <w:szCs w:val="24"/>
        </w:rPr>
        <w:t>10</w:t>
      </w:r>
      <w:r w:rsidRPr="005B333E">
        <w:rPr>
          <w:rFonts w:ascii="Times New Roman" w:hAnsi="Times New Roman" w:cs="Times New Roman"/>
          <w:sz w:val="24"/>
          <w:szCs w:val="24"/>
        </w:rPr>
        <w:t xml:space="preserve"> de septiembre de 2019.</w:t>
      </w:r>
    </w:p>
    <w:p w:rsidR="00F41EC3" w:rsidRPr="00F10A66" w:rsidRDefault="00C81FAD" w:rsidP="00F10A66">
      <w:pPr>
        <w:jc w:val="center"/>
        <w:rPr>
          <w:rFonts w:ascii="Times New Roman" w:hAnsi="Times New Roman" w:cs="Times New Roman"/>
          <w:b/>
          <w:sz w:val="25"/>
          <w:szCs w:val="25"/>
        </w:rPr>
      </w:pPr>
      <w:r>
        <w:rPr>
          <w:rFonts w:ascii="Times New Roman" w:hAnsi="Times New Roman" w:cs="Times New Roman"/>
          <w:b/>
          <w:sz w:val="25"/>
          <w:szCs w:val="25"/>
        </w:rPr>
        <w:t>Acta</w:t>
      </w:r>
    </w:p>
    <w:p w:rsidR="00FD3440" w:rsidRDefault="003820B4" w:rsidP="001840B5">
      <w:pPr>
        <w:jc w:val="both"/>
        <w:rPr>
          <w:rFonts w:ascii="Times New Roman" w:hAnsi="Times New Roman" w:cs="Times New Roman"/>
          <w:sz w:val="24"/>
          <w:szCs w:val="24"/>
        </w:rPr>
      </w:pPr>
      <w:r>
        <w:rPr>
          <w:rFonts w:ascii="Times New Roman" w:hAnsi="Times New Roman" w:cs="Times New Roman"/>
          <w:sz w:val="24"/>
          <w:szCs w:val="24"/>
        </w:rPr>
        <w:t xml:space="preserve">El día </w:t>
      </w:r>
      <w:r w:rsidR="00FD3440">
        <w:rPr>
          <w:rFonts w:ascii="Times New Roman" w:hAnsi="Times New Roman" w:cs="Times New Roman"/>
          <w:sz w:val="24"/>
          <w:szCs w:val="24"/>
        </w:rPr>
        <w:t>10</w:t>
      </w:r>
      <w:r w:rsidR="005B333E">
        <w:rPr>
          <w:rFonts w:ascii="Times New Roman" w:hAnsi="Times New Roman" w:cs="Times New Roman"/>
          <w:sz w:val="24"/>
          <w:szCs w:val="24"/>
        </w:rPr>
        <w:t xml:space="preserve"> de septiembre de 2019, de </w:t>
      </w:r>
      <w:r w:rsidR="00FD3440">
        <w:rPr>
          <w:rFonts w:ascii="Times New Roman" w:hAnsi="Times New Roman" w:cs="Times New Roman"/>
          <w:sz w:val="24"/>
          <w:szCs w:val="24"/>
        </w:rPr>
        <w:t>9:00 a 10:30</w:t>
      </w:r>
      <w:r w:rsidR="00F170F4" w:rsidRPr="006D7E67">
        <w:rPr>
          <w:rFonts w:ascii="Times New Roman" w:hAnsi="Times New Roman" w:cs="Times New Roman"/>
          <w:sz w:val="24"/>
          <w:szCs w:val="24"/>
        </w:rPr>
        <w:t xml:space="preserve"> horas</w:t>
      </w:r>
      <w:r w:rsidR="004B4F0D">
        <w:rPr>
          <w:rFonts w:ascii="Times New Roman" w:hAnsi="Times New Roman" w:cs="Times New Roman"/>
          <w:sz w:val="24"/>
          <w:szCs w:val="24"/>
        </w:rPr>
        <w:t>,</w:t>
      </w:r>
      <w:r w:rsidR="00F170F4" w:rsidRPr="006D7E67">
        <w:rPr>
          <w:rFonts w:ascii="Times New Roman" w:hAnsi="Times New Roman" w:cs="Times New Roman"/>
          <w:sz w:val="24"/>
          <w:szCs w:val="24"/>
        </w:rPr>
        <w:t xml:space="preserve"> se</w:t>
      </w:r>
      <w:r w:rsidR="001C0AE4" w:rsidRPr="006D7E67">
        <w:rPr>
          <w:rFonts w:ascii="Times New Roman" w:hAnsi="Times New Roman" w:cs="Times New Roman"/>
          <w:sz w:val="24"/>
          <w:szCs w:val="24"/>
        </w:rPr>
        <w:t xml:space="preserve"> llevó a cabo la </w:t>
      </w:r>
      <w:r w:rsidR="00FD3440">
        <w:rPr>
          <w:rFonts w:ascii="Times New Roman" w:hAnsi="Times New Roman" w:cs="Times New Roman"/>
          <w:sz w:val="24"/>
          <w:szCs w:val="24"/>
        </w:rPr>
        <w:t>4</w:t>
      </w:r>
      <w:r w:rsidR="004363A9" w:rsidRPr="004363A9">
        <w:rPr>
          <w:vertAlign w:val="superscript"/>
        </w:rPr>
        <w:t>a</w:t>
      </w:r>
      <w:r w:rsidR="001C0AE4" w:rsidRPr="006D7E67">
        <w:t xml:space="preserve"> </w:t>
      </w:r>
      <w:r w:rsidR="00F41EC3" w:rsidRPr="006D7E67">
        <w:rPr>
          <w:rFonts w:ascii="Times New Roman" w:hAnsi="Times New Roman" w:cs="Times New Roman"/>
          <w:sz w:val="24"/>
          <w:szCs w:val="24"/>
        </w:rPr>
        <w:t xml:space="preserve">sesión </w:t>
      </w:r>
      <w:r w:rsidR="005B333E">
        <w:rPr>
          <w:rFonts w:ascii="Times New Roman" w:hAnsi="Times New Roman" w:cs="Times New Roman"/>
          <w:sz w:val="24"/>
          <w:szCs w:val="24"/>
        </w:rPr>
        <w:t xml:space="preserve">del Subgrupo de Trabajo de Integración y Membresía del Grupo Especial para la Renovación del Consejo Mexicano para el Desarrollo Rural Sustentable, </w:t>
      </w:r>
      <w:r w:rsidR="009E3301">
        <w:rPr>
          <w:rFonts w:ascii="Times New Roman" w:hAnsi="Times New Roman" w:cs="Times New Roman"/>
          <w:sz w:val="24"/>
          <w:szCs w:val="24"/>
        </w:rPr>
        <w:t>en la</w:t>
      </w:r>
      <w:r w:rsidR="005B333E">
        <w:rPr>
          <w:rFonts w:ascii="Times New Roman" w:hAnsi="Times New Roman" w:cs="Times New Roman"/>
          <w:sz w:val="24"/>
          <w:szCs w:val="24"/>
        </w:rPr>
        <w:t>s oficinas de</w:t>
      </w:r>
      <w:r w:rsidR="009E3301">
        <w:rPr>
          <w:rFonts w:ascii="Times New Roman" w:hAnsi="Times New Roman" w:cs="Times New Roman"/>
          <w:sz w:val="24"/>
          <w:szCs w:val="24"/>
        </w:rPr>
        <w:t xml:space="preserve"> </w:t>
      </w:r>
      <w:r w:rsidR="00FD3440">
        <w:rPr>
          <w:rFonts w:ascii="Times New Roman" w:hAnsi="Times New Roman" w:cs="Times New Roman"/>
          <w:sz w:val="24"/>
          <w:szCs w:val="24"/>
        </w:rPr>
        <w:t>la Financiera Nacional de Desarrollo Agropecuario, Rural, Forestal y Pesquero, ubicadas en Agrarismo 227, piso 4, col. Escandón II Sección de la Alcaldía Miguel Hidalgo, CDMX.</w:t>
      </w:r>
    </w:p>
    <w:p w:rsidR="00323FA5" w:rsidRDefault="00FD3440" w:rsidP="001840B5">
      <w:pPr>
        <w:jc w:val="both"/>
        <w:rPr>
          <w:rFonts w:ascii="Times New Roman" w:hAnsi="Times New Roman" w:cs="Times New Roman"/>
          <w:sz w:val="24"/>
          <w:szCs w:val="24"/>
        </w:rPr>
      </w:pPr>
      <w:r>
        <w:rPr>
          <w:rFonts w:ascii="Times New Roman" w:hAnsi="Times New Roman" w:cs="Times New Roman"/>
          <w:sz w:val="24"/>
          <w:szCs w:val="24"/>
        </w:rPr>
        <w:t>Por la parte de Consejeros participaron Salvador Aguayo</w:t>
      </w:r>
      <w:r w:rsidR="00323FA5">
        <w:rPr>
          <w:rFonts w:ascii="Times New Roman" w:hAnsi="Times New Roman" w:cs="Times New Roman"/>
          <w:sz w:val="24"/>
          <w:szCs w:val="24"/>
        </w:rPr>
        <w:t xml:space="preserve"> García</w:t>
      </w:r>
      <w:r>
        <w:rPr>
          <w:rFonts w:ascii="Times New Roman" w:hAnsi="Times New Roman" w:cs="Times New Roman"/>
          <w:sz w:val="24"/>
          <w:szCs w:val="24"/>
        </w:rPr>
        <w:t xml:space="preserve">, </w:t>
      </w:r>
      <w:r w:rsidR="008C6108">
        <w:rPr>
          <w:rFonts w:ascii="Times New Roman" w:hAnsi="Times New Roman" w:cs="Times New Roman"/>
          <w:sz w:val="24"/>
          <w:szCs w:val="24"/>
        </w:rPr>
        <w:t>representante de la Red NOREMSO</w:t>
      </w:r>
      <w:r>
        <w:rPr>
          <w:rFonts w:ascii="Times New Roman" w:hAnsi="Times New Roman" w:cs="Times New Roman"/>
          <w:sz w:val="24"/>
          <w:szCs w:val="24"/>
        </w:rPr>
        <w:t xml:space="preserve"> y Juan Pablo Rojas</w:t>
      </w:r>
      <w:r w:rsidR="00323FA5">
        <w:rPr>
          <w:rFonts w:ascii="Times New Roman" w:hAnsi="Times New Roman" w:cs="Times New Roman"/>
          <w:sz w:val="24"/>
          <w:szCs w:val="24"/>
        </w:rPr>
        <w:t xml:space="preserve"> Pérez</w:t>
      </w:r>
      <w:r>
        <w:rPr>
          <w:rFonts w:ascii="Times New Roman" w:hAnsi="Times New Roman" w:cs="Times New Roman"/>
          <w:sz w:val="24"/>
          <w:szCs w:val="24"/>
        </w:rPr>
        <w:t xml:space="preserve">, de la Confederación Nacional de Productores </w:t>
      </w:r>
      <w:r w:rsidR="000928E2">
        <w:rPr>
          <w:rFonts w:ascii="Times New Roman" w:hAnsi="Times New Roman" w:cs="Times New Roman"/>
          <w:sz w:val="24"/>
          <w:szCs w:val="24"/>
        </w:rPr>
        <w:t xml:space="preserve">Agrícolas </w:t>
      </w:r>
      <w:r>
        <w:rPr>
          <w:rFonts w:ascii="Times New Roman" w:hAnsi="Times New Roman" w:cs="Times New Roman"/>
          <w:sz w:val="24"/>
          <w:szCs w:val="24"/>
        </w:rPr>
        <w:t>de Maíz</w:t>
      </w:r>
      <w:r w:rsidR="000928E2">
        <w:rPr>
          <w:rFonts w:ascii="Times New Roman" w:hAnsi="Times New Roman" w:cs="Times New Roman"/>
          <w:sz w:val="24"/>
          <w:szCs w:val="24"/>
        </w:rPr>
        <w:t xml:space="preserve"> de México</w:t>
      </w:r>
      <w:r>
        <w:rPr>
          <w:rFonts w:ascii="Times New Roman" w:hAnsi="Times New Roman" w:cs="Times New Roman"/>
          <w:sz w:val="24"/>
          <w:szCs w:val="24"/>
        </w:rPr>
        <w:t xml:space="preserve">. </w:t>
      </w:r>
    </w:p>
    <w:p w:rsidR="00323FA5" w:rsidRDefault="00FD3440" w:rsidP="00323FA5">
      <w:pPr>
        <w:jc w:val="both"/>
        <w:rPr>
          <w:rFonts w:ascii="Times New Roman" w:hAnsi="Times New Roman" w:cs="Times New Roman"/>
          <w:sz w:val="24"/>
          <w:szCs w:val="24"/>
        </w:rPr>
      </w:pPr>
      <w:r>
        <w:rPr>
          <w:rFonts w:ascii="Times New Roman" w:hAnsi="Times New Roman" w:cs="Times New Roman"/>
          <w:sz w:val="24"/>
          <w:szCs w:val="24"/>
        </w:rPr>
        <w:t xml:space="preserve">Por la parte institucional participaron </w:t>
      </w:r>
      <w:r w:rsidR="00323FA5">
        <w:rPr>
          <w:rFonts w:ascii="Times New Roman" w:hAnsi="Times New Roman" w:cs="Times New Roman"/>
          <w:sz w:val="24"/>
          <w:szCs w:val="24"/>
        </w:rPr>
        <w:t xml:space="preserve">el Ing. Roberto Cedeño Sánchez y el Ing. Bernardo Rodríguez, ambos de la Financiera Nacional de Desarrollo Agropecuario, Rural, Forestal y Pesquero, así como el Lic. José Alberto Cuéllar Álvarez </w:t>
      </w:r>
      <w:r w:rsidR="00357859">
        <w:rPr>
          <w:rFonts w:ascii="Times New Roman" w:hAnsi="Times New Roman" w:cs="Times New Roman"/>
          <w:sz w:val="24"/>
          <w:szCs w:val="24"/>
        </w:rPr>
        <w:t>de la Coordinación de Asuntos Internacionales de SADER.</w:t>
      </w:r>
    </w:p>
    <w:p w:rsidR="00357859" w:rsidRDefault="00357859" w:rsidP="00323FA5">
      <w:pPr>
        <w:jc w:val="both"/>
        <w:rPr>
          <w:rFonts w:ascii="Times New Roman" w:hAnsi="Times New Roman" w:cs="Times New Roman"/>
          <w:sz w:val="24"/>
          <w:szCs w:val="24"/>
        </w:rPr>
      </w:pPr>
    </w:p>
    <w:p w:rsidR="00357859" w:rsidRDefault="00357859" w:rsidP="00323FA5">
      <w:pPr>
        <w:jc w:val="both"/>
        <w:rPr>
          <w:rFonts w:ascii="Times New Roman" w:hAnsi="Times New Roman" w:cs="Times New Roman"/>
          <w:b/>
          <w:sz w:val="24"/>
          <w:szCs w:val="24"/>
        </w:rPr>
      </w:pPr>
      <w:r>
        <w:rPr>
          <w:rFonts w:ascii="Times New Roman" w:hAnsi="Times New Roman" w:cs="Times New Roman"/>
          <w:b/>
          <w:sz w:val="24"/>
          <w:szCs w:val="24"/>
        </w:rPr>
        <w:t>Temas Tratados.</w:t>
      </w:r>
    </w:p>
    <w:p w:rsidR="00D509D2" w:rsidRDefault="00D509D2" w:rsidP="00D509D2">
      <w:pPr>
        <w:pStyle w:val="Prrafodelista"/>
        <w:numPr>
          <w:ilvl w:val="0"/>
          <w:numId w:val="29"/>
        </w:numPr>
        <w:jc w:val="both"/>
        <w:rPr>
          <w:rFonts w:ascii="Times New Roman" w:hAnsi="Times New Roman" w:cs="Times New Roman"/>
          <w:sz w:val="24"/>
          <w:szCs w:val="24"/>
        </w:rPr>
      </w:pPr>
      <w:r w:rsidRPr="00D509D2">
        <w:rPr>
          <w:rFonts w:ascii="Times New Roman" w:hAnsi="Times New Roman" w:cs="Times New Roman"/>
          <w:b/>
          <w:sz w:val="24"/>
          <w:szCs w:val="24"/>
        </w:rPr>
        <w:t>Sobre la representatividad del Consejo</w:t>
      </w:r>
      <w:r>
        <w:rPr>
          <w:rFonts w:ascii="Times New Roman" w:hAnsi="Times New Roman" w:cs="Times New Roman"/>
          <w:sz w:val="24"/>
          <w:szCs w:val="24"/>
        </w:rPr>
        <w:t>: El trabajo del Subgrupo debe enfocarse en la identificación de criterios que garanticen la representatividad de las principales actividades, sistemas y organizaciones que inciden en el desarrollo de las comunidades rurales. Se hizo énfasis en que el tamaño o número de afiliados no es necesariamente un indicador de representatividad que implique un mejor resultado o impacto sobre las políticas públicas que detonen el desarrollo rural.</w:t>
      </w:r>
    </w:p>
    <w:p w:rsidR="00D509D2" w:rsidRPr="0079708B" w:rsidRDefault="00D509D2" w:rsidP="00D509D2">
      <w:pPr>
        <w:pStyle w:val="Prrafodelista"/>
        <w:numPr>
          <w:ilvl w:val="0"/>
          <w:numId w:val="29"/>
        </w:numPr>
        <w:jc w:val="both"/>
        <w:rPr>
          <w:rFonts w:ascii="Times New Roman" w:hAnsi="Times New Roman" w:cs="Times New Roman"/>
          <w:b/>
          <w:sz w:val="24"/>
          <w:szCs w:val="24"/>
        </w:rPr>
      </w:pPr>
      <w:r w:rsidRPr="00D509D2">
        <w:rPr>
          <w:rFonts w:ascii="Times New Roman" w:hAnsi="Times New Roman" w:cs="Times New Roman"/>
          <w:b/>
          <w:sz w:val="24"/>
          <w:szCs w:val="24"/>
        </w:rPr>
        <w:t>Sobre</w:t>
      </w:r>
      <w:r>
        <w:rPr>
          <w:rFonts w:ascii="Times New Roman" w:hAnsi="Times New Roman" w:cs="Times New Roman"/>
          <w:b/>
          <w:sz w:val="24"/>
          <w:szCs w:val="24"/>
        </w:rPr>
        <w:t xml:space="preserve"> la cobertura y/o territorialidad del Consejo: </w:t>
      </w:r>
      <w:r>
        <w:rPr>
          <w:rFonts w:ascii="Times New Roman" w:hAnsi="Times New Roman" w:cs="Times New Roman"/>
          <w:sz w:val="24"/>
          <w:szCs w:val="24"/>
        </w:rPr>
        <w:t xml:space="preserve">Se presentaron distintas opiniones sobre lo que significa que una organización tenga carácter nacional. </w:t>
      </w:r>
      <w:r w:rsidR="0079708B">
        <w:rPr>
          <w:rFonts w:ascii="Times New Roman" w:hAnsi="Times New Roman" w:cs="Times New Roman"/>
          <w:sz w:val="24"/>
          <w:szCs w:val="24"/>
        </w:rPr>
        <w:t>E</w:t>
      </w:r>
      <w:r>
        <w:rPr>
          <w:rFonts w:ascii="Times New Roman" w:hAnsi="Times New Roman" w:cs="Times New Roman"/>
          <w:sz w:val="24"/>
          <w:szCs w:val="24"/>
        </w:rPr>
        <w:t>xisten</w:t>
      </w:r>
      <w:r w:rsidR="0079708B">
        <w:rPr>
          <w:rFonts w:ascii="Times New Roman" w:hAnsi="Times New Roman" w:cs="Times New Roman"/>
          <w:sz w:val="24"/>
          <w:szCs w:val="24"/>
        </w:rPr>
        <w:t xml:space="preserve"> distintos</w:t>
      </w:r>
      <w:r>
        <w:rPr>
          <w:rFonts w:ascii="Times New Roman" w:hAnsi="Times New Roman" w:cs="Times New Roman"/>
          <w:sz w:val="24"/>
          <w:szCs w:val="24"/>
        </w:rPr>
        <w:t xml:space="preserve"> indicadores cuantitativos que podrían </w:t>
      </w:r>
      <w:r w:rsidR="0079708B">
        <w:rPr>
          <w:rFonts w:ascii="Times New Roman" w:hAnsi="Times New Roman" w:cs="Times New Roman"/>
          <w:sz w:val="24"/>
          <w:szCs w:val="24"/>
        </w:rPr>
        <w:t>utilizarse en esta definición (por ejemplo, número de afiliados, presencia en distintos estados, etc.) y el Subgrupo ha decidido estudiarlos en mayor detalle durante las próximas reuniones.</w:t>
      </w:r>
    </w:p>
    <w:p w:rsidR="0079708B" w:rsidRPr="0079708B" w:rsidRDefault="0079708B" w:rsidP="00D509D2">
      <w:pPr>
        <w:pStyle w:val="Prrafodelista"/>
        <w:numPr>
          <w:ilvl w:val="0"/>
          <w:numId w:val="29"/>
        </w:numPr>
        <w:jc w:val="both"/>
        <w:rPr>
          <w:rFonts w:ascii="Times New Roman" w:hAnsi="Times New Roman" w:cs="Times New Roman"/>
          <w:b/>
          <w:sz w:val="24"/>
          <w:szCs w:val="24"/>
        </w:rPr>
      </w:pPr>
      <w:r>
        <w:rPr>
          <w:rFonts w:ascii="Times New Roman" w:hAnsi="Times New Roman" w:cs="Times New Roman"/>
          <w:b/>
          <w:sz w:val="24"/>
          <w:szCs w:val="24"/>
        </w:rPr>
        <w:t xml:space="preserve">Criterios para optimizar el funcionamiento del Consejo 1 </w:t>
      </w:r>
      <w:r w:rsidR="00E97A06">
        <w:rPr>
          <w:rFonts w:ascii="Times New Roman" w:hAnsi="Times New Roman" w:cs="Times New Roman"/>
          <w:b/>
          <w:sz w:val="24"/>
          <w:szCs w:val="24"/>
        </w:rPr>
        <w:t xml:space="preserve">– Mecanismos </w:t>
      </w:r>
      <w:r>
        <w:rPr>
          <w:rFonts w:ascii="Times New Roman" w:hAnsi="Times New Roman" w:cs="Times New Roman"/>
          <w:b/>
          <w:sz w:val="24"/>
          <w:szCs w:val="24"/>
        </w:rPr>
        <w:t xml:space="preserve">de suspensión temporal y definitiva: </w:t>
      </w:r>
      <w:r>
        <w:rPr>
          <w:rFonts w:ascii="Times New Roman" w:hAnsi="Times New Roman" w:cs="Times New Roman"/>
          <w:sz w:val="24"/>
          <w:szCs w:val="24"/>
        </w:rPr>
        <w:t>Se discutieron criterios de participación y asistencia que incentiven la participación activa y permanente de los miembros en las deliberaciones del Pleno y en el trabajo de las Comisiones del Consejo. Esto con el fin de que el CMDRS se convierta efectivamente en una herramienta de toma de decisiones con la participación de todos los actores del desarrollo rural.</w:t>
      </w:r>
    </w:p>
    <w:p w:rsidR="0079708B" w:rsidRPr="00E97A06" w:rsidRDefault="0079708B" w:rsidP="00D509D2">
      <w:pPr>
        <w:pStyle w:val="Prrafodelista"/>
        <w:numPr>
          <w:ilvl w:val="0"/>
          <w:numId w:val="29"/>
        </w:numPr>
        <w:jc w:val="both"/>
        <w:rPr>
          <w:rFonts w:ascii="Times New Roman" w:hAnsi="Times New Roman" w:cs="Times New Roman"/>
          <w:b/>
          <w:sz w:val="24"/>
          <w:szCs w:val="24"/>
        </w:rPr>
      </w:pPr>
      <w:r>
        <w:rPr>
          <w:rFonts w:ascii="Times New Roman" w:hAnsi="Times New Roman" w:cs="Times New Roman"/>
          <w:b/>
          <w:sz w:val="24"/>
          <w:szCs w:val="24"/>
        </w:rPr>
        <w:t xml:space="preserve">Criterios para optimizar el funcionamiento del Consejo 2 </w:t>
      </w:r>
      <w:r w:rsidR="00E97A06">
        <w:rPr>
          <w:rFonts w:ascii="Times New Roman" w:hAnsi="Times New Roman" w:cs="Times New Roman"/>
          <w:b/>
          <w:sz w:val="24"/>
          <w:szCs w:val="24"/>
        </w:rPr>
        <w:t>–</w:t>
      </w:r>
      <w:r>
        <w:rPr>
          <w:rFonts w:ascii="Times New Roman" w:hAnsi="Times New Roman" w:cs="Times New Roman"/>
          <w:b/>
          <w:sz w:val="24"/>
          <w:szCs w:val="24"/>
        </w:rPr>
        <w:t xml:space="preserve"> </w:t>
      </w:r>
      <w:r w:rsidR="00E97A06">
        <w:rPr>
          <w:rFonts w:ascii="Times New Roman" w:hAnsi="Times New Roman" w:cs="Times New Roman"/>
          <w:b/>
          <w:sz w:val="24"/>
          <w:szCs w:val="24"/>
        </w:rPr>
        <w:t xml:space="preserve">Creación de una Coordinación de Comisiones de Trabajo: </w:t>
      </w:r>
      <w:r w:rsidR="00E97A06">
        <w:rPr>
          <w:rFonts w:ascii="Times New Roman" w:hAnsi="Times New Roman" w:cs="Times New Roman"/>
          <w:sz w:val="24"/>
          <w:szCs w:val="24"/>
        </w:rPr>
        <w:t xml:space="preserve">El objetivo de esta Coordinación sería agilizar la comunicación entre los miembros del Consejo y el Secretario del Ramo, pues su función sería la de actuar como órgano que aglutine los acuerdos alcanzados al nivel de las </w:t>
      </w:r>
      <w:r w:rsidR="00E97A06">
        <w:rPr>
          <w:rFonts w:ascii="Times New Roman" w:hAnsi="Times New Roman" w:cs="Times New Roman"/>
          <w:sz w:val="24"/>
          <w:szCs w:val="24"/>
        </w:rPr>
        <w:lastRenderedPageBreak/>
        <w:t>Comisiones de Trabajo, haciendo más ágil y eficaz la comunicación con el Grupo Directivo de la SADER.</w:t>
      </w:r>
    </w:p>
    <w:p w:rsidR="00E97A06" w:rsidRPr="00D509D2" w:rsidRDefault="00E97A06" w:rsidP="00E97A06">
      <w:pPr>
        <w:pStyle w:val="Prrafodelista"/>
        <w:jc w:val="both"/>
        <w:rPr>
          <w:rFonts w:ascii="Times New Roman" w:hAnsi="Times New Roman" w:cs="Times New Roman"/>
          <w:b/>
          <w:sz w:val="24"/>
          <w:szCs w:val="24"/>
        </w:rPr>
      </w:pPr>
    </w:p>
    <w:p w:rsidR="00012A05" w:rsidRPr="00012A05" w:rsidRDefault="00012A05" w:rsidP="00323FA5">
      <w:pPr>
        <w:jc w:val="both"/>
        <w:rPr>
          <w:rFonts w:ascii="Times New Roman" w:hAnsi="Times New Roman" w:cs="Times New Roman"/>
          <w:b/>
          <w:sz w:val="24"/>
          <w:szCs w:val="24"/>
        </w:rPr>
      </w:pPr>
      <w:r w:rsidRPr="00012A05">
        <w:rPr>
          <w:rFonts w:ascii="Times New Roman" w:hAnsi="Times New Roman" w:cs="Times New Roman"/>
          <w:b/>
          <w:sz w:val="24"/>
          <w:szCs w:val="24"/>
        </w:rPr>
        <w:t>Acuerdos</w:t>
      </w:r>
      <w:r w:rsidR="005B333E">
        <w:rPr>
          <w:rFonts w:ascii="Times New Roman" w:hAnsi="Times New Roman" w:cs="Times New Roman"/>
          <w:b/>
          <w:sz w:val="24"/>
          <w:szCs w:val="24"/>
        </w:rPr>
        <w:t xml:space="preserve"> Alcanzados</w:t>
      </w:r>
      <w:r w:rsidRPr="00012A05">
        <w:rPr>
          <w:rFonts w:ascii="Times New Roman" w:hAnsi="Times New Roman" w:cs="Times New Roman"/>
          <w:b/>
          <w:sz w:val="24"/>
          <w:szCs w:val="24"/>
        </w:rPr>
        <w:t xml:space="preserve">. </w:t>
      </w:r>
    </w:p>
    <w:p w:rsidR="009D1A28" w:rsidRPr="00A3468A" w:rsidRDefault="009D1A28" w:rsidP="00F34A78">
      <w:pPr>
        <w:contextualSpacing/>
        <w:jc w:val="both"/>
        <w:rPr>
          <w:rFonts w:ascii="Times New Roman" w:hAnsi="Times New Roman" w:cs="Times New Roman"/>
          <w:sz w:val="24"/>
          <w:szCs w:val="24"/>
        </w:rPr>
      </w:pPr>
    </w:p>
    <w:p w:rsidR="00A3468A" w:rsidRPr="005B333E" w:rsidRDefault="00E97A06" w:rsidP="00FA7E19">
      <w:pPr>
        <w:pStyle w:val="Prrafodelista"/>
        <w:numPr>
          <w:ilvl w:val="0"/>
          <w:numId w:val="23"/>
        </w:numPr>
        <w:jc w:val="both"/>
        <w:rPr>
          <w:rFonts w:ascii="Times New Roman" w:hAnsi="Times New Roman" w:cs="Times New Roman"/>
          <w:b/>
          <w:sz w:val="24"/>
          <w:szCs w:val="24"/>
        </w:rPr>
      </w:pPr>
      <w:r>
        <w:rPr>
          <w:rFonts w:ascii="Times New Roman" w:hAnsi="Times New Roman" w:cs="Times New Roman"/>
          <w:sz w:val="24"/>
          <w:szCs w:val="24"/>
        </w:rPr>
        <w:t>Se acordó seguir trabajando en la definición de conceptos y criterios clave en los temas relativos a los requisitos de admisión de nuevos miembros al Consejo y a los mecanismos de suspensión temporal y definitiva, así como a los que definan la representatividad nacional de las organizaciones sociales y privadas y de los Sistemas Producto.</w:t>
      </w:r>
    </w:p>
    <w:p w:rsidR="005B333E" w:rsidRPr="00E97A06" w:rsidRDefault="00E97A06" w:rsidP="00E97A06">
      <w:pPr>
        <w:pStyle w:val="Prrafodelista"/>
        <w:numPr>
          <w:ilvl w:val="0"/>
          <w:numId w:val="23"/>
        </w:numPr>
        <w:jc w:val="both"/>
        <w:rPr>
          <w:rFonts w:ascii="Times New Roman" w:hAnsi="Times New Roman" w:cs="Times New Roman"/>
          <w:b/>
          <w:sz w:val="24"/>
          <w:szCs w:val="24"/>
        </w:rPr>
      </w:pPr>
      <w:r w:rsidRPr="00E97A06">
        <w:rPr>
          <w:rFonts w:ascii="Times New Roman" w:hAnsi="Times New Roman" w:cs="Times New Roman"/>
          <w:sz w:val="24"/>
          <w:szCs w:val="24"/>
        </w:rPr>
        <w:t>Para avanzar en lo anterior, se acuerda esperar los resultados del informe solicitado en la reunión pasada a la S</w:t>
      </w:r>
      <w:r w:rsidR="005B333E" w:rsidRPr="00E97A06">
        <w:rPr>
          <w:rFonts w:ascii="Times New Roman" w:hAnsi="Times New Roman" w:cs="Times New Roman"/>
          <w:sz w:val="24"/>
          <w:szCs w:val="24"/>
        </w:rPr>
        <w:t xml:space="preserve">ecretaría Técnica del CMDRS </w:t>
      </w:r>
      <w:r>
        <w:rPr>
          <w:rFonts w:ascii="Times New Roman" w:hAnsi="Times New Roman" w:cs="Times New Roman"/>
          <w:sz w:val="24"/>
          <w:szCs w:val="24"/>
        </w:rPr>
        <w:t xml:space="preserve">con </w:t>
      </w:r>
      <w:r w:rsidR="005B333E" w:rsidRPr="00E97A06">
        <w:rPr>
          <w:rFonts w:ascii="Times New Roman" w:hAnsi="Times New Roman" w:cs="Times New Roman"/>
          <w:sz w:val="24"/>
          <w:szCs w:val="24"/>
        </w:rPr>
        <w:t xml:space="preserve">el diagnóstico de la situación de los integrantes del </w:t>
      </w:r>
      <w:r>
        <w:rPr>
          <w:rFonts w:ascii="Times New Roman" w:hAnsi="Times New Roman" w:cs="Times New Roman"/>
          <w:sz w:val="24"/>
          <w:szCs w:val="24"/>
        </w:rPr>
        <w:t>Consejo.</w:t>
      </w:r>
    </w:p>
    <w:p w:rsidR="00E97A06" w:rsidRPr="00E97A06" w:rsidRDefault="00E97A06" w:rsidP="00E97A06">
      <w:pPr>
        <w:pStyle w:val="Prrafodelista"/>
        <w:numPr>
          <w:ilvl w:val="0"/>
          <w:numId w:val="23"/>
        </w:numPr>
        <w:jc w:val="both"/>
        <w:rPr>
          <w:rFonts w:ascii="Times New Roman" w:hAnsi="Times New Roman" w:cs="Times New Roman"/>
          <w:b/>
          <w:sz w:val="24"/>
          <w:szCs w:val="24"/>
        </w:rPr>
      </w:pPr>
      <w:r>
        <w:rPr>
          <w:rFonts w:ascii="Times New Roman" w:hAnsi="Times New Roman" w:cs="Times New Roman"/>
          <w:sz w:val="24"/>
          <w:szCs w:val="24"/>
        </w:rPr>
        <w:t>Se solicitará al Subgrupo de Estructura y Funcionamiento una reunión de trabajo conjunta, pues se considera que la labor de ambos Subgrupos se encuentra íntimamente ligada.</w:t>
      </w:r>
    </w:p>
    <w:p w:rsidR="00E97A06" w:rsidRDefault="00E97A06" w:rsidP="00E97A06">
      <w:pPr>
        <w:pStyle w:val="Prrafodelista"/>
        <w:numPr>
          <w:ilvl w:val="0"/>
          <w:numId w:val="23"/>
        </w:numPr>
        <w:jc w:val="both"/>
        <w:rPr>
          <w:rFonts w:ascii="Times New Roman" w:hAnsi="Times New Roman" w:cs="Times New Roman"/>
          <w:b/>
          <w:sz w:val="24"/>
          <w:szCs w:val="24"/>
        </w:rPr>
      </w:pPr>
      <w:r>
        <w:rPr>
          <w:rFonts w:ascii="Times New Roman" w:hAnsi="Times New Roman" w:cs="Times New Roman"/>
          <w:sz w:val="24"/>
          <w:szCs w:val="24"/>
        </w:rPr>
        <w:t>Se pide a los integrantes del Subgrupo de Integración y Membresía que propongan la fecha, hora y sitio para la 5ª Sesión.</w:t>
      </w:r>
    </w:p>
    <w:p w:rsidR="005B333E" w:rsidRDefault="005B333E" w:rsidP="005B333E">
      <w:pPr>
        <w:jc w:val="both"/>
        <w:rPr>
          <w:rFonts w:ascii="Times New Roman" w:hAnsi="Times New Roman" w:cs="Times New Roman"/>
          <w:b/>
          <w:sz w:val="24"/>
          <w:szCs w:val="24"/>
        </w:rPr>
      </w:pPr>
    </w:p>
    <w:p w:rsidR="005B333E" w:rsidRDefault="005B333E" w:rsidP="005B333E">
      <w:pPr>
        <w:jc w:val="both"/>
        <w:rPr>
          <w:rFonts w:ascii="Times New Roman" w:hAnsi="Times New Roman" w:cs="Times New Roman"/>
          <w:b/>
          <w:sz w:val="24"/>
          <w:szCs w:val="24"/>
        </w:rPr>
      </w:pPr>
    </w:p>
    <w:p w:rsidR="005B333E" w:rsidRPr="005B333E" w:rsidRDefault="005B333E" w:rsidP="005B333E">
      <w:pPr>
        <w:jc w:val="both"/>
        <w:rPr>
          <w:rFonts w:ascii="Times New Roman" w:hAnsi="Times New Roman" w:cs="Times New Roman"/>
          <w:b/>
          <w:sz w:val="24"/>
          <w:szCs w:val="24"/>
        </w:rPr>
      </w:pPr>
    </w:p>
    <w:sectPr w:rsidR="005B333E" w:rsidRPr="005B333E" w:rsidSect="000A6138">
      <w:headerReference w:type="default" r:id="rId8"/>
      <w:pgSz w:w="12240" w:h="15840"/>
      <w:pgMar w:top="1701" w:right="146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FE" w:rsidRDefault="003D0DFE" w:rsidP="006D7BC2">
      <w:pPr>
        <w:spacing w:after="0" w:line="240" w:lineRule="auto"/>
      </w:pPr>
      <w:r>
        <w:separator/>
      </w:r>
    </w:p>
  </w:endnote>
  <w:endnote w:type="continuationSeparator" w:id="0">
    <w:p w:rsidR="003D0DFE" w:rsidRDefault="003D0DFE" w:rsidP="006D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FE" w:rsidRDefault="003D0DFE" w:rsidP="006D7BC2">
      <w:pPr>
        <w:spacing w:after="0" w:line="240" w:lineRule="auto"/>
      </w:pPr>
      <w:r>
        <w:separator/>
      </w:r>
    </w:p>
  </w:footnote>
  <w:footnote w:type="continuationSeparator" w:id="0">
    <w:p w:rsidR="003D0DFE" w:rsidRDefault="003D0DFE" w:rsidP="006D7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1B" w:rsidRDefault="00A4691B" w:rsidP="006A67EA">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s-MX"/>
      </w:rPr>
      <w:drawing>
        <wp:anchor distT="0" distB="0" distL="114300" distR="114300" simplePos="0" relativeHeight="251658240" behindDoc="0" locked="0" layoutInCell="1" allowOverlap="1">
          <wp:simplePos x="0" y="0"/>
          <wp:positionH relativeFrom="column">
            <wp:posOffset>-671830</wp:posOffset>
          </wp:positionH>
          <wp:positionV relativeFrom="paragraph">
            <wp:posOffset>-145415</wp:posOffset>
          </wp:positionV>
          <wp:extent cx="1680845" cy="5810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ogo_SADER_final.png"/>
                  <pic:cNvPicPr/>
                </pic:nvPicPr>
                <pic:blipFill>
                  <a:blip r:embed="rId1">
                    <a:extLst>
                      <a:ext uri="{28A0092B-C50C-407E-A947-70E740481C1C}">
                        <a14:useLocalDpi xmlns:a14="http://schemas.microsoft.com/office/drawing/2010/main" val="0"/>
                      </a:ext>
                    </a:extLst>
                  </a:blip>
                  <a:stretch>
                    <a:fillRect/>
                  </a:stretch>
                </pic:blipFill>
                <pic:spPr>
                  <a:xfrm>
                    <a:off x="0" y="0"/>
                    <a:ext cx="1680845" cy="581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5006340</wp:posOffset>
          </wp:positionH>
          <wp:positionV relativeFrom="paragraph">
            <wp:posOffset>-230505</wp:posOffset>
          </wp:positionV>
          <wp:extent cx="1133475" cy="800100"/>
          <wp:effectExtent l="0" t="0" r="9525" b="0"/>
          <wp:wrapSquare wrapText="bothSides"/>
          <wp:docPr id="3" name="Imagen 3" descr="http://www.cmdrs.gob.mx/Style%20Library/CurrentImages/logo-tw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mdrs.gob.mx/Style%20Library/CurrentImages/logo-two.p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pic:spPr>
              </pic:pic>
            </a:graphicData>
          </a:graphic>
          <wp14:sizeRelH relativeFrom="margin">
            <wp14:pctWidth>0</wp14:pctWidth>
          </wp14:sizeRelH>
          <wp14:sizeRelV relativeFrom="margin">
            <wp14:pctHeight>0</wp14:pctHeight>
          </wp14:sizeRelV>
        </wp:anchor>
      </w:drawing>
    </w:r>
    <w:r w:rsidR="00850CCF">
      <w:rPr>
        <w:rFonts w:ascii="Times New Roman" w:hAnsi="Times New Roman" w:cs="Times New Roman"/>
        <w:b/>
        <w:sz w:val="28"/>
        <w:szCs w:val="28"/>
      </w:rPr>
      <w:t>Grupo Especial para la Renovación del CMDRS</w:t>
    </w:r>
    <w:r>
      <w:rPr>
        <w:rFonts w:ascii="Times New Roman" w:hAnsi="Times New Roman" w:cs="Times New Roman"/>
        <w:color w:val="0000FF"/>
        <w:sz w:val="28"/>
        <w:szCs w:val="28"/>
      </w:rPr>
      <w:t xml:space="preserve"> </w:t>
    </w:r>
  </w:p>
  <w:p w:rsidR="00A4691B" w:rsidRDefault="003820B4" w:rsidP="006A67E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850CCF">
      <w:rPr>
        <w:rFonts w:ascii="Times New Roman" w:hAnsi="Times New Roman" w:cs="Times New Roman"/>
        <w:b/>
        <w:sz w:val="28"/>
        <w:szCs w:val="28"/>
      </w:rPr>
      <w:t>Subgrupo de Integración y Membresía</w:t>
    </w:r>
    <w:r w:rsidR="00A4691B">
      <w:rPr>
        <w:rFonts w:ascii="Times New Roman" w:hAnsi="Times New Roman" w:cs="Times New Roman"/>
        <w:b/>
        <w:sz w:val="28"/>
        <w:szCs w:val="28"/>
      </w:rPr>
      <w:t xml:space="preserve">  </w:t>
    </w:r>
  </w:p>
  <w:p w:rsidR="00A4691B" w:rsidRDefault="00850CCF" w:rsidP="006A67EA">
    <w:pPr>
      <w:spacing w:after="0"/>
      <w:jc w:val="center"/>
      <w:rPr>
        <w:rFonts w:ascii="Times New Roman" w:hAnsi="Times New Roman" w:cs="Times New Roman"/>
        <w:b/>
      </w:rPr>
    </w:pPr>
    <w:r>
      <w:rPr>
        <w:rFonts w:ascii="Times New Roman" w:hAnsi="Times New Roman" w:cs="Times New Roman"/>
        <w:b/>
      </w:rPr>
      <w:t xml:space="preserve">Acuerdos del </w:t>
    </w:r>
    <w:r w:rsidR="00BB7DA1">
      <w:rPr>
        <w:rFonts w:ascii="Times New Roman" w:hAnsi="Times New Roman" w:cs="Times New Roman"/>
        <w:b/>
      </w:rPr>
      <w:t>10</w:t>
    </w:r>
    <w:r>
      <w:rPr>
        <w:rFonts w:ascii="Times New Roman" w:hAnsi="Times New Roman" w:cs="Times New Roman"/>
        <w:b/>
      </w:rPr>
      <w:t xml:space="preserve"> de septiembre de 2019</w:t>
    </w:r>
  </w:p>
  <w:p w:rsidR="00A4691B" w:rsidRDefault="00BB7DA1" w:rsidP="006A67EA">
    <w:pPr>
      <w:spacing w:after="0"/>
      <w:jc w:val="center"/>
      <w:rPr>
        <w:rFonts w:ascii="Times New Roman" w:hAnsi="Times New Roman" w:cs="Times New Roman"/>
        <w:b/>
      </w:rPr>
    </w:pPr>
    <w:r>
      <w:rPr>
        <w:rFonts w:ascii="Times New Roman" w:hAnsi="Times New Roman" w:cs="Times New Roman"/>
        <w:b/>
      </w:rPr>
      <w:t>Agrarismo 227</w:t>
    </w:r>
    <w:r w:rsidR="00FD3440">
      <w:rPr>
        <w:rFonts w:ascii="Times New Roman" w:hAnsi="Times New Roman" w:cs="Times New Roman"/>
        <w:b/>
      </w:rPr>
      <w:t>,</w:t>
    </w:r>
    <w:r>
      <w:rPr>
        <w:rFonts w:ascii="Times New Roman" w:hAnsi="Times New Roman" w:cs="Times New Roman"/>
        <w:b/>
      </w:rPr>
      <w:t xml:space="preserve"> col. Escandón II Sección</w:t>
    </w:r>
  </w:p>
  <w:p w:rsidR="00BB7DA1" w:rsidRDefault="00BB7DA1" w:rsidP="006A67EA">
    <w:pPr>
      <w:spacing w:after="0"/>
      <w:jc w:val="center"/>
      <w:rPr>
        <w:rFonts w:ascii="Times New Roman" w:hAnsi="Times New Roman" w:cs="Times New Roman"/>
        <w:b/>
      </w:rPr>
    </w:pPr>
    <w:r>
      <w:rPr>
        <w:rFonts w:ascii="Times New Roman" w:hAnsi="Times New Roman" w:cs="Times New Roman"/>
        <w:b/>
      </w:rPr>
      <w:t>Ciudad de México</w:t>
    </w:r>
  </w:p>
  <w:p w:rsidR="00A4691B" w:rsidRPr="006A67EA" w:rsidRDefault="00A4691B" w:rsidP="006A67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DD8"/>
    <w:multiLevelType w:val="hybridMultilevel"/>
    <w:tmpl w:val="AF0CC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1215F"/>
    <w:multiLevelType w:val="hybridMultilevel"/>
    <w:tmpl w:val="57887DCC"/>
    <w:lvl w:ilvl="0" w:tplc="19A8912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77B8C"/>
    <w:multiLevelType w:val="hybridMultilevel"/>
    <w:tmpl w:val="F782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55D54"/>
    <w:multiLevelType w:val="hybridMultilevel"/>
    <w:tmpl w:val="C2E2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B174DC"/>
    <w:multiLevelType w:val="hybridMultilevel"/>
    <w:tmpl w:val="A7668292"/>
    <w:lvl w:ilvl="0" w:tplc="82B6DF28">
      <w:start w:val="1"/>
      <w:numFmt w:val="decimal"/>
      <w:lvlText w:val="%1."/>
      <w:lvlJc w:val="lef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942B7"/>
    <w:multiLevelType w:val="hybridMultilevel"/>
    <w:tmpl w:val="9508B7B0"/>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1557EEC"/>
    <w:multiLevelType w:val="hybridMultilevel"/>
    <w:tmpl w:val="416E8FD0"/>
    <w:lvl w:ilvl="0" w:tplc="B5D4FF7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1753D1B"/>
    <w:multiLevelType w:val="hybridMultilevel"/>
    <w:tmpl w:val="0FCA2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3951BF"/>
    <w:multiLevelType w:val="hybridMultilevel"/>
    <w:tmpl w:val="9B64E4E6"/>
    <w:lvl w:ilvl="0" w:tplc="FC8E67B8">
      <w:start w:val="1"/>
      <w:numFmt w:val="bullet"/>
      <w:lvlText w:val=""/>
      <w:lvlJc w:val="left"/>
      <w:pPr>
        <w:tabs>
          <w:tab w:val="num" w:pos="720"/>
        </w:tabs>
        <w:ind w:left="720" w:hanging="360"/>
      </w:pPr>
      <w:rPr>
        <w:rFonts w:ascii="Wingdings" w:hAnsi="Wingdings" w:hint="default"/>
      </w:rPr>
    </w:lvl>
    <w:lvl w:ilvl="1" w:tplc="93162D9E">
      <w:start w:val="1"/>
      <w:numFmt w:val="bullet"/>
      <w:lvlText w:val=""/>
      <w:lvlJc w:val="left"/>
      <w:pPr>
        <w:tabs>
          <w:tab w:val="num" w:pos="1440"/>
        </w:tabs>
        <w:ind w:left="1440" w:hanging="360"/>
      </w:pPr>
      <w:rPr>
        <w:rFonts w:ascii="Wingdings" w:hAnsi="Wingdings" w:hint="default"/>
      </w:rPr>
    </w:lvl>
    <w:lvl w:ilvl="2" w:tplc="81923F40" w:tentative="1">
      <w:start w:val="1"/>
      <w:numFmt w:val="bullet"/>
      <w:lvlText w:val=""/>
      <w:lvlJc w:val="left"/>
      <w:pPr>
        <w:tabs>
          <w:tab w:val="num" w:pos="2160"/>
        </w:tabs>
        <w:ind w:left="2160" w:hanging="360"/>
      </w:pPr>
      <w:rPr>
        <w:rFonts w:ascii="Wingdings" w:hAnsi="Wingdings" w:hint="default"/>
      </w:rPr>
    </w:lvl>
    <w:lvl w:ilvl="3" w:tplc="08782FAE" w:tentative="1">
      <w:start w:val="1"/>
      <w:numFmt w:val="bullet"/>
      <w:lvlText w:val=""/>
      <w:lvlJc w:val="left"/>
      <w:pPr>
        <w:tabs>
          <w:tab w:val="num" w:pos="2880"/>
        </w:tabs>
        <w:ind w:left="2880" w:hanging="360"/>
      </w:pPr>
      <w:rPr>
        <w:rFonts w:ascii="Wingdings" w:hAnsi="Wingdings" w:hint="default"/>
      </w:rPr>
    </w:lvl>
    <w:lvl w:ilvl="4" w:tplc="B2026EBE" w:tentative="1">
      <w:start w:val="1"/>
      <w:numFmt w:val="bullet"/>
      <w:lvlText w:val=""/>
      <w:lvlJc w:val="left"/>
      <w:pPr>
        <w:tabs>
          <w:tab w:val="num" w:pos="3600"/>
        </w:tabs>
        <w:ind w:left="3600" w:hanging="360"/>
      </w:pPr>
      <w:rPr>
        <w:rFonts w:ascii="Wingdings" w:hAnsi="Wingdings" w:hint="default"/>
      </w:rPr>
    </w:lvl>
    <w:lvl w:ilvl="5" w:tplc="ED08006A" w:tentative="1">
      <w:start w:val="1"/>
      <w:numFmt w:val="bullet"/>
      <w:lvlText w:val=""/>
      <w:lvlJc w:val="left"/>
      <w:pPr>
        <w:tabs>
          <w:tab w:val="num" w:pos="4320"/>
        </w:tabs>
        <w:ind w:left="4320" w:hanging="360"/>
      </w:pPr>
      <w:rPr>
        <w:rFonts w:ascii="Wingdings" w:hAnsi="Wingdings" w:hint="default"/>
      </w:rPr>
    </w:lvl>
    <w:lvl w:ilvl="6" w:tplc="4EF43C54" w:tentative="1">
      <w:start w:val="1"/>
      <w:numFmt w:val="bullet"/>
      <w:lvlText w:val=""/>
      <w:lvlJc w:val="left"/>
      <w:pPr>
        <w:tabs>
          <w:tab w:val="num" w:pos="5040"/>
        </w:tabs>
        <w:ind w:left="5040" w:hanging="360"/>
      </w:pPr>
      <w:rPr>
        <w:rFonts w:ascii="Wingdings" w:hAnsi="Wingdings" w:hint="default"/>
      </w:rPr>
    </w:lvl>
    <w:lvl w:ilvl="7" w:tplc="B5AE5284" w:tentative="1">
      <w:start w:val="1"/>
      <w:numFmt w:val="bullet"/>
      <w:lvlText w:val=""/>
      <w:lvlJc w:val="left"/>
      <w:pPr>
        <w:tabs>
          <w:tab w:val="num" w:pos="5760"/>
        </w:tabs>
        <w:ind w:left="5760" w:hanging="360"/>
      </w:pPr>
      <w:rPr>
        <w:rFonts w:ascii="Wingdings" w:hAnsi="Wingdings" w:hint="default"/>
      </w:rPr>
    </w:lvl>
    <w:lvl w:ilvl="8" w:tplc="F12AA1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A7755"/>
    <w:multiLevelType w:val="hybridMultilevel"/>
    <w:tmpl w:val="80166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4603B5"/>
    <w:multiLevelType w:val="hybridMultilevel"/>
    <w:tmpl w:val="CE08BB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73C0D"/>
    <w:multiLevelType w:val="hybridMultilevel"/>
    <w:tmpl w:val="DF06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E0CAA"/>
    <w:multiLevelType w:val="hybridMultilevel"/>
    <w:tmpl w:val="0F105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0B77F0"/>
    <w:multiLevelType w:val="hybridMultilevel"/>
    <w:tmpl w:val="24228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3F640E"/>
    <w:multiLevelType w:val="hybridMultilevel"/>
    <w:tmpl w:val="AA8AE934"/>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6B0681"/>
    <w:multiLevelType w:val="hybridMultilevel"/>
    <w:tmpl w:val="7FA2CD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9D6CC0"/>
    <w:multiLevelType w:val="hybridMultilevel"/>
    <w:tmpl w:val="B112AE80"/>
    <w:lvl w:ilvl="0" w:tplc="8D7418F4">
      <w:start w:val="5"/>
      <w:numFmt w:val="decimal"/>
      <w:lvlText w:val="%1"/>
      <w:lvlJc w:val="left"/>
      <w:pPr>
        <w:ind w:left="3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56E86"/>
    <w:multiLevelType w:val="hybridMultilevel"/>
    <w:tmpl w:val="D33C3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CB2B87"/>
    <w:multiLevelType w:val="hybridMultilevel"/>
    <w:tmpl w:val="1D06E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98538B"/>
    <w:multiLevelType w:val="hybridMultilevel"/>
    <w:tmpl w:val="8844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98053E"/>
    <w:multiLevelType w:val="hybridMultilevel"/>
    <w:tmpl w:val="7DC20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C24FC0"/>
    <w:multiLevelType w:val="hybridMultilevel"/>
    <w:tmpl w:val="7B2E1E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4E65B0"/>
    <w:multiLevelType w:val="hybridMultilevel"/>
    <w:tmpl w:val="3ABE0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844B7B"/>
    <w:multiLevelType w:val="hybridMultilevel"/>
    <w:tmpl w:val="C7CC5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991CBE"/>
    <w:multiLevelType w:val="hybridMultilevel"/>
    <w:tmpl w:val="4B206A7E"/>
    <w:lvl w:ilvl="0" w:tplc="03764794">
      <w:start w:val="20"/>
      <w:numFmt w:val="decimal"/>
      <w:lvlText w:val="%1"/>
      <w:lvlJc w:val="left"/>
      <w:pPr>
        <w:ind w:left="397" w:hanging="360"/>
      </w:pPr>
      <w:rPr>
        <w:rFonts w:hint="default"/>
      </w:rPr>
    </w:lvl>
    <w:lvl w:ilvl="1" w:tplc="080A0019" w:tentative="1">
      <w:start w:val="1"/>
      <w:numFmt w:val="lowerLetter"/>
      <w:lvlText w:val="%2."/>
      <w:lvlJc w:val="left"/>
      <w:pPr>
        <w:ind w:left="1117" w:hanging="360"/>
      </w:pPr>
    </w:lvl>
    <w:lvl w:ilvl="2" w:tplc="080A001B" w:tentative="1">
      <w:start w:val="1"/>
      <w:numFmt w:val="lowerRoman"/>
      <w:lvlText w:val="%3."/>
      <w:lvlJc w:val="right"/>
      <w:pPr>
        <w:ind w:left="1837" w:hanging="180"/>
      </w:pPr>
    </w:lvl>
    <w:lvl w:ilvl="3" w:tplc="080A000F" w:tentative="1">
      <w:start w:val="1"/>
      <w:numFmt w:val="decimal"/>
      <w:lvlText w:val="%4."/>
      <w:lvlJc w:val="left"/>
      <w:pPr>
        <w:ind w:left="2557" w:hanging="360"/>
      </w:pPr>
    </w:lvl>
    <w:lvl w:ilvl="4" w:tplc="080A0019" w:tentative="1">
      <w:start w:val="1"/>
      <w:numFmt w:val="lowerLetter"/>
      <w:lvlText w:val="%5."/>
      <w:lvlJc w:val="left"/>
      <w:pPr>
        <w:ind w:left="3277" w:hanging="360"/>
      </w:pPr>
    </w:lvl>
    <w:lvl w:ilvl="5" w:tplc="080A001B" w:tentative="1">
      <w:start w:val="1"/>
      <w:numFmt w:val="lowerRoman"/>
      <w:lvlText w:val="%6."/>
      <w:lvlJc w:val="right"/>
      <w:pPr>
        <w:ind w:left="3997" w:hanging="180"/>
      </w:pPr>
    </w:lvl>
    <w:lvl w:ilvl="6" w:tplc="080A000F" w:tentative="1">
      <w:start w:val="1"/>
      <w:numFmt w:val="decimal"/>
      <w:lvlText w:val="%7."/>
      <w:lvlJc w:val="left"/>
      <w:pPr>
        <w:ind w:left="4717" w:hanging="360"/>
      </w:pPr>
    </w:lvl>
    <w:lvl w:ilvl="7" w:tplc="080A0019" w:tentative="1">
      <w:start w:val="1"/>
      <w:numFmt w:val="lowerLetter"/>
      <w:lvlText w:val="%8."/>
      <w:lvlJc w:val="left"/>
      <w:pPr>
        <w:ind w:left="5437" w:hanging="360"/>
      </w:pPr>
    </w:lvl>
    <w:lvl w:ilvl="8" w:tplc="080A001B" w:tentative="1">
      <w:start w:val="1"/>
      <w:numFmt w:val="lowerRoman"/>
      <w:lvlText w:val="%9."/>
      <w:lvlJc w:val="right"/>
      <w:pPr>
        <w:ind w:left="6157" w:hanging="180"/>
      </w:pPr>
    </w:lvl>
  </w:abstractNum>
  <w:abstractNum w:abstractNumId="25" w15:restartNumberingAfterBreak="0">
    <w:nsid w:val="73166932"/>
    <w:multiLevelType w:val="hybridMultilevel"/>
    <w:tmpl w:val="DC58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ED4D2D"/>
    <w:multiLevelType w:val="hybridMultilevel"/>
    <w:tmpl w:val="1B04D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F815E2"/>
    <w:multiLevelType w:val="hybridMultilevel"/>
    <w:tmpl w:val="5E8C7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1"/>
  </w:num>
  <w:num w:numId="4">
    <w:abstractNumId w:val="27"/>
  </w:num>
  <w:num w:numId="5">
    <w:abstractNumId w:val="9"/>
  </w:num>
  <w:num w:numId="6">
    <w:abstractNumId w:val="15"/>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16"/>
  </w:num>
  <w:num w:numId="12">
    <w:abstractNumId w:val="8"/>
  </w:num>
  <w:num w:numId="13">
    <w:abstractNumId w:val="1"/>
  </w:num>
  <w:num w:numId="14">
    <w:abstractNumId w:val="26"/>
  </w:num>
  <w:num w:numId="15">
    <w:abstractNumId w:val="20"/>
  </w:num>
  <w:num w:numId="16">
    <w:abstractNumId w:val="13"/>
  </w:num>
  <w:num w:numId="17">
    <w:abstractNumId w:val="0"/>
  </w:num>
  <w:num w:numId="18">
    <w:abstractNumId w:val="10"/>
  </w:num>
  <w:num w:numId="19">
    <w:abstractNumId w:val="12"/>
  </w:num>
  <w:num w:numId="20">
    <w:abstractNumId w:val="14"/>
  </w:num>
  <w:num w:numId="21">
    <w:abstractNumId w:val="7"/>
  </w:num>
  <w:num w:numId="22">
    <w:abstractNumId w:val="17"/>
  </w:num>
  <w:num w:numId="23">
    <w:abstractNumId w:val="4"/>
  </w:num>
  <w:num w:numId="24">
    <w:abstractNumId w:val="23"/>
  </w:num>
  <w:num w:numId="25">
    <w:abstractNumId w:val="25"/>
  </w:num>
  <w:num w:numId="26">
    <w:abstractNumId w:val="6"/>
  </w:num>
  <w:num w:numId="27">
    <w:abstractNumId w:val="5"/>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7C"/>
    <w:rsid w:val="0000532C"/>
    <w:rsid w:val="00007D09"/>
    <w:rsid w:val="0001174F"/>
    <w:rsid w:val="000129BD"/>
    <w:rsid w:val="00012A05"/>
    <w:rsid w:val="0001306E"/>
    <w:rsid w:val="00016DF0"/>
    <w:rsid w:val="0003057B"/>
    <w:rsid w:val="0003631F"/>
    <w:rsid w:val="000630C4"/>
    <w:rsid w:val="00071BAF"/>
    <w:rsid w:val="00092095"/>
    <w:rsid w:val="000928E2"/>
    <w:rsid w:val="000A4BBF"/>
    <w:rsid w:val="000A6138"/>
    <w:rsid w:val="000C1CBD"/>
    <w:rsid w:val="000C639E"/>
    <w:rsid w:val="000C654D"/>
    <w:rsid w:val="000C65F0"/>
    <w:rsid w:val="000D2776"/>
    <w:rsid w:val="000F4888"/>
    <w:rsid w:val="00104AFC"/>
    <w:rsid w:val="00110E3F"/>
    <w:rsid w:val="001134F4"/>
    <w:rsid w:val="00120F12"/>
    <w:rsid w:val="00132205"/>
    <w:rsid w:val="00140C06"/>
    <w:rsid w:val="001539E0"/>
    <w:rsid w:val="0016197E"/>
    <w:rsid w:val="00182691"/>
    <w:rsid w:val="00182F16"/>
    <w:rsid w:val="00183430"/>
    <w:rsid w:val="001840B5"/>
    <w:rsid w:val="00187F0F"/>
    <w:rsid w:val="001B2E8A"/>
    <w:rsid w:val="001C0AE4"/>
    <w:rsid w:val="001C2C64"/>
    <w:rsid w:val="001D5696"/>
    <w:rsid w:val="001D5882"/>
    <w:rsid w:val="001E497C"/>
    <w:rsid w:val="001E784C"/>
    <w:rsid w:val="001E7F6F"/>
    <w:rsid w:val="001F7451"/>
    <w:rsid w:val="00242B8E"/>
    <w:rsid w:val="00292A32"/>
    <w:rsid w:val="002A2CAC"/>
    <w:rsid w:val="002B258F"/>
    <w:rsid w:val="002B305A"/>
    <w:rsid w:val="002C0826"/>
    <w:rsid w:val="002C55AB"/>
    <w:rsid w:val="002C7662"/>
    <w:rsid w:val="002D4ADA"/>
    <w:rsid w:val="002E2299"/>
    <w:rsid w:val="002F7498"/>
    <w:rsid w:val="00302831"/>
    <w:rsid w:val="0031655B"/>
    <w:rsid w:val="00323FA5"/>
    <w:rsid w:val="00354B95"/>
    <w:rsid w:val="00357859"/>
    <w:rsid w:val="00381E64"/>
    <w:rsid w:val="003820B4"/>
    <w:rsid w:val="003B47A6"/>
    <w:rsid w:val="003B7C89"/>
    <w:rsid w:val="003D0DFE"/>
    <w:rsid w:val="003D2B33"/>
    <w:rsid w:val="003D3F76"/>
    <w:rsid w:val="003E6E31"/>
    <w:rsid w:val="003E79A6"/>
    <w:rsid w:val="003F5AF4"/>
    <w:rsid w:val="00406587"/>
    <w:rsid w:val="004137CE"/>
    <w:rsid w:val="004144D1"/>
    <w:rsid w:val="0042122F"/>
    <w:rsid w:val="00427934"/>
    <w:rsid w:val="00430414"/>
    <w:rsid w:val="004331BC"/>
    <w:rsid w:val="0043388B"/>
    <w:rsid w:val="004360AC"/>
    <w:rsid w:val="0043620B"/>
    <w:rsid w:val="004363A9"/>
    <w:rsid w:val="00436FE0"/>
    <w:rsid w:val="004408BE"/>
    <w:rsid w:val="00452993"/>
    <w:rsid w:val="00453A9B"/>
    <w:rsid w:val="00461ECE"/>
    <w:rsid w:val="00464292"/>
    <w:rsid w:val="004707D9"/>
    <w:rsid w:val="00473925"/>
    <w:rsid w:val="004766CB"/>
    <w:rsid w:val="0047797C"/>
    <w:rsid w:val="0049529E"/>
    <w:rsid w:val="004A14F4"/>
    <w:rsid w:val="004A2997"/>
    <w:rsid w:val="004B4F0D"/>
    <w:rsid w:val="004C5ED0"/>
    <w:rsid w:val="004E4F04"/>
    <w:rsid w:val="004E58E5"/>
    <w:rsid w:val="004E712C"/>
    <w:rsid w:val="004E754D"/>
    <w:rsid w:val="005068C8"/>
    <w:rsid w:val="005268ED"/>
    <w:rsid w:val="00530E10"/>
    <w:rsid w:val="00532E26"/>
    <w:rsid w:val="00533B24"/>
    <w:rsid w:val="005345AE"/>
    <w:rsid w:val="005440EA"/>
    <w:rsid w:val="005502A0"/>
    <w:rsid w:val="005562A5"/>
    <w:rsid w:val="0055639D"/>
    <w:rsid w:val="00561693"/>
    <w:rsid w:val="00562A33"/>
    <w:rsid w:val="005709DB"/>
    <w:rsid w:val="00576851"/>
    <w:rsid w:val="005865F4"/>
    <w:rsid w:val="005868E5"/>
    <w:rsid w:val="0059607E"/>
    <w:rsid w:val="005A157F"/>
    <w:rsid w:val="005A45FB"/>
    <w:rsid w:val="005B333E"/>
    <w:rsid w:val="005B5B15"/>
    <w:rsid w:val="005B6917"/>
    <w:rsid w:val="005C11F5"/>
    <w:rsid w:val="005D129A"/>
    <w:rsid w:val="005E21E2"/>
    <w:rsid w:val="00607E43"/>
    <w:rsid w:val="0061133C"/>
    <w:rsid w:val="006166BB"/>
    <w:rsid w:val="006276DA"/>
    <w:rsid w:val="00631104"/>
    <w:rsid w:val="00636BE2"/>
    <w:rsid w:val="006428BC"/>
    <w:rsid w:val="006457C2"/>
    <w:rsid w:val="006625DA"/>
    <w:rsid w:val="00663B17"/>
    <w:rsid w:val="00671C69"/>
    <w:rsid w:val="00696662"/>
    <w:rsid w:val="0069771F"/>
    <w:rsid w:val="006A01A9"/>
    <w:rsid w:val="006A5877"/>
    <w:rsid w:val="006A618A"/>
    <w:rsid w:val="006A67EA"/>
    <w:rsid w:val="006B6B69"/>
    <w:rsid w:val="006D7BC2"/>
    <w:rsid w:val="006D7E67"/>
    <w:rsid w:val="006F04BA"/>
    <w:rsid w:val="006F7FB7"/>
    <w:rsid w:val="00701319"/>
    <w:rsid w:val="007022C5"/>
    <w:rsid w:val="00704C91"/>
    <w:rsid w:val="00715B07"/>
    <w:rsid w:val="0071729F"/>
    <w:rsid w:val="00717AD1"/>
    <w:rsid w:val="0072009A"/>
    <w:rsid w:val="00725F44"/>
    <w:rsid w:val="00736A31"/>
    <w:rsid w:val="00753C8A"/>
    <w:rsid w:val="007548F6"/>
    <w:rsid w:val="00762727"/>
    <w:rsid w:val="00766041"/>
    <w:rsid w:val="00777385"/>
    <w:rsid w:val="00785068"/>
    <w:rsid w:val="007912DA"/>
    <w:rsid w:val="0079599F"/>
    <w:rsid w:val="0079708B"/>
    <w:rsid w:val="007B0BDE"/>
    <w:rsid w:val="007B0E34"/>
    <w:rsid w:val="007B0E44"/>
    <w:rsid w:val="007B3FE4"/>
    <w:rsid w:val="007D381C"/>
    <w:rsid w:val="007F4B71"/>
    <w:rsid w:val="007F520E"/>
    <w:rsid w:val="00800338"/>
    <w:rsid w:val="00823B7D"/>
    <w:rsid w:val="00850CCF"/>
    <w:rsid w:val="0086365A"/>
    <w:rsid w:val="0087237B"/>
    <w:rsid w:val="00874BBF"/>
    <w:rsid w:val="00877830"/>
    <w:rsid w:val="008824FF"/>
    <w:rsid w:val="008960B4"/>
    <w:rsid w:val="008B5AD0"/>
    <w:rsid w:val="008C6108"/>
    <w:rsid w:val="008C7A43"/>
    <w:rsid w:val="008F050D"/>
    <w:rsid w:val="008F3FDF"/>
    <w:rsid w:val="008F4B69"/>
    <w:rsid w:val="00915A29"/>
    <w:rsid w:val="00917673"/>
    <w:rsid w:val="00941D06"/>
    <w:rsid w:val="00942266"/>
    <w:rsid w:val="00960C3A"/>
    <w:rsid w:val="009678F7"/>
    <w:rsid w:val="00974E34"/>
    <w:rsid w:val="00977973"/>
    <w:rsid w:val="00992224"/>
    <w:rsid w:val="00996958"/>
    <w:rsid w:val="009A2C4F"/>
    <w:rsid w:val="009A4D1E"/>
    <w:rsid w:val="009A6010"/>
    <w:rsid w:val="009B39C1"/>
    <w:rsid w:val="009D0D15"/>
    <w:rsid w:val="009D1A28"/>
    <w:rsid w:val="009E3301"/>
    <w:rsid w:val="009F2B0D"/>
    <w:rsid w:val="009F5495"/>
    <w:rsid w:val="00A040EC"/>
    <w:rsid w:val="00A138B5"/>
    <w:rsid w:val="00A22119"/>
    <w:rsid w:val="00A23C12"/>
    <w:rsid w:val="00A32F9C"/>
    <w:rsid w:val="00A3468A"/>
    <w:rsid w:val="00A4691B"/>
    <w:rsid w:val="00A52EF7"/>
    <w:rsid w:val="00A747C0"/>
    <w:rsid w:val="00A8353D"/>
    <w:rsid w:val="00AC772C"/>
    <w:rsid w:val="00AD2522"/>
    <w:rsid w:val="00AD400C"/>
    <w:rsid w:val="00AD4823"/>
    <w:rsid w:val="00AD7239"/>
    <w:rsid w:val="00AE0117"/>
    <w:rsid w:val="00AE3190"/>
    <w:rsid w:val="00AE5C2F"/>
    <w:rsid w:val="00AF5186"/>
    <w:rsid w:val="00B007A3"/>
    <w:rsid w:val="00B10E94"/>
    <w:rsid w:val="00B115AC"/>
    <w:rsid w:val="00B13746"/>
    <w:rsid w:val="00B14B7D"/>
    <w:rsid w:val="00B21036"/>
    <w:rsid w:val="00B21BA7"/>
    <w:rsid w:val="00B452EB"/>
    <w:rsid w:val="00B45631"/>
    <w:rsid w:val="00B479B1"/>
    <w:rsid w:val="00B515A8"/>
    <w:rsid w:val="00B552D1"/>
    <w:rsid w:val="00B818B0"/>
    <w:rsid w:val="00B91314"/>
    <w:rsid w:val="00B943CF"/>
    <w:rsid w:val="00B9691E"/>
    <w:rsid w:val="00BA1F32"/>
    <w:rsid w:val="00BB1186"/>
    <w:rsid w:val="00BB2C92"/>
    <w:rsid w:val="00BB7DA1"/>
    <w:rsid w:val="00BC3A25"/>
    <w:rsid w:val="00BC760A"/>
    <w:rsid w:val="00BD3571"/>
    <w:rsid w:val="00BD7475"/>
    <w:rsid w:val="00BD7D75"/>
    <w:rsid w:val="00BE223E"/>
    <w:rsid w:val="00BE47AE"/>
    <w:rsid w:val="00BF0A12"/>
    <w:rsid w:val="00BF794E"/>
    <w:rsid w:val="00C04081"/>
    <w:rsid w:val="00C12090"/>
    <w:rsid w:val="00C60DD0"/>
    <w:rsid w:val="00C65A7B"/>
    <w:rsid w:val="00C70889"/>
    <w:rsid w:val="00C81FAD"/>
    <w:rsid w:val="00C91942"/>
    <w:rsid w:val="00C96298"/>
    <w:rsid w:val="00CA1850"/>
    <w:rsid w:val="00CA42C7"/>
    <w:rsid w:val="00CA6FF7"/>
    <w:rsid w:val="00CC11DE"/>
    <w:rsid w:val="00CD5660"/>
    <w:rsid w:val="00D263A9"/>
    <w:rsid w:val="00D36FC4"/>
    <w:rsid w:val="00D418B2"/>
    <w:rsid w:val="00D509D2"/>
    <w:rsid w:val="00D5440F"/>
    <w:rsid w:val="00D63EB0"/>
    <w:rsid w:val="00D819FF"/>
    <w:rsid w:val="00D85CE4"/>
    <w:rsid w:val="00D928A5"/>
    <w:rsid w:val="00D9445A"/>
    <w:rsid w:val="00DA30C0"/>
    <w:rsid w:val="00DB0B72"/>
    <w:rsid w:val="00DB121C"/>
    <w:rsid w:val="00DC2114"/>
    <w:rsid w:val="00DC67C8"/>
    <w:rsid w:val="00DD0ADA"/>
    <w:rsid w:val="00DE285B"/>
    <w:rsid w:val="00DE40B4"/>
    <w:rsid w:val="00DF55FD"/>
    <w:rsid w:val="00E048C4"/>
    <w:rsid w:val="00E048ED"/>
    <w:rsid w:val="00E0501C"/>
    <w:rsid w:val="00E05828"/>
    <w:rsid w:val="00E06371"/>
    <w:rsid w:val="00E147A6"/>
    <w:rsid w:val="00E17E12"/>
    <w:rsid w:val="00E23FD1"/>
    <w:rsid w:val="00E247A2"/>
    <w:rsid w:val="00E33F47"/>
    <w:rsid w:val="00E3688A"/>
    <w:rsid w:val="00E546EB"/>
    <w:rsid w:val="00E61028"/>
    <w:rsid w:val="00E9174D"/>
    <w:rsid w:val="00E97A06"/>
    <w:rsid w:val="00EA075D"/>
    <w:rsid w:val="00EA7752"/>
    <w:rsid w:val="00EB1C9E"/>
    <w:rsid w:val="00EB3AE0"/>
    <w:rsid w:val="00EB5C66"/>
    <w:rsid w:val="00EC04D5"/>
    <w:rsid w:val="00EC0815"/>
    <w:rsid w:val="00ED2C13"/>
    <w:rsid w:val="00ED42BB"/>
    <w:rsid w:val="00EE5116"/>
    <w:rsid w:val="00EF074D"/>
    <w:rsid w:val="00EF133B"/>
    <w:rsid w:val="00EF71D6"/>
    <w:rsid w:val="00F05D85"/>
    <w:rsid w:val="00F10A66"/>
    <w:rsid w:val="00F170F4"/>
    <w:rsid w:val="00F21238"/>
    <w:rsid w:val="00F239AE"/>
    <w:rsid w:val="00F34A78"/>
    <w:rsid w:val="00F37749"/>
    <w:rsid w:val="00F41EC3"/>
    <w:rsid w:val="00F56D95"/>
    <w:rsid w:val="00F60697"/>
    <w:rsid w:val="00F60AD3"/>
    <w:rsid w:val="00F66148"/>
    <w:rsid w:val="00F763DB"/>
    <w:rsid w:val="00F81ACA"/>
    <w:rsid w:val="00F85BBB"/>
    <w:rsid w:val="00FA13CE"/>
    <w:rsid w:val="00FA1B25"/>
    <w:rsid w:val="00FA1FF9"/>
    <w:rsid w:val="00FA3D84"/>
    <w:rsid w:val="00FA45C6"/>
    <w:rsid w:val="00FA540D"/>
    <w:rsid w:val="00FA5AE2"/>
    <w:rsid w:val="00FA7E19"/>
    <w:rsid w:val="00FB2AF5"/>
    <w:rsid w:val="00FC5965"/>
    <w:rsid w:val="00FD3440"/>
    <w:rsid w:val="00FD4D5D"/>
    <w:rsid w:val="00FD656B"/>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5CDC5-567D-440E-8C55-6CC51994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797C"/>
    <w:pPr>
      <w:ind w:left="720"/>
      <w:contextualSpacing/>
    </w:pPr>
  </w:style>
  <w:style w:type="paragraph" w:styleId="Encabezado">
    <w:name w:val="header"/>
    <w:basedOn w:val="Normal"/>
    <w:link w:val="EncabezadoCar"/>
    <w:uiPriority w:val="99"/>
    <w:unhideWhenUsed/>
    <w:rsid w:val="006D7B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BC2"/>
  </w:style>
  <w:style w:type="paragraph" w:styleId="Piedepgina">
    <w:name w:val="footer"/>
    <w:basedOn w:val="Normal"/>
    <w:link w:val="PiedepginaCar"/>
    <w:uiPriority w:val="99"/>
    <w:unhideWhenUsed/>
    <w:rsid w:val="006D7B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BC2"/>
  </w:style>
  <w:style w:type="table" w:styleId="Tablaconcuadrcula">
    <w:name w:val="Table Grid"/>
    <w:basedOn w:val="Tablanormal"/>
    <w:uiPriority w:val="39"/>
    <w:rsid w:val="006D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23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37B"/>
    <w:rPr>
      <w:sz w:val="20"/>
      <w:szCs w:val="20"/>
    </w:rPr>
  </w:style>
  <w:style w:type="character" w:styleId="Refdenotaalpie">
    <w:name w:val="footnote reference"/>
    <w:basedOn w:val="Fuentedeprrafopredeter"/>
    <w:uiPriority w:val="99"/>
    <w:semiHidden/>
    <w:unhideWhenUsed/>
    <w:rsid w:val="0087237B"/>
    <w:rPr>
      <w:vertAlign w:val="superscript"/>
    </w:rPr>
  </w:style>
  <w:style w:type="paragraph" w:styleId="Textodeglobo">
    <w:name w:val="Balloon Text"/>
    <w:basedOn w:val="Normal"/>
    <w:link w:val="TextodegloboCar"/>
    <w:uiPriority w:val="99"/>
    <w:semiHidden/>
    <w:unhideWhenUsed/>
    <w:rsid w:val="006A6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7EA"/>
    <w:rPr>
      <w:rFonts w:ascii="Segoe UI" w:hAnsi="Segoe UI" w:cs="Segoe UI"/>
      <w:sz w:val="18"/>
      <w:szCs w:val="18"/>
    </w:rPr>
  </w:style>
  <w:style w:type="table" w:customStyle="1" w:styleId="Tablaconcuadrcula1">
    <w:name w:val="Tabla con cuadrícula1"/>
    <w:basedOn w:val="Tablanormal"/>
    <w:next w:val="Tablaconcuadrcula"/>
    <w:uiPriority w:val="39"/>
    <w:rsid w:val="008F050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D2B3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1655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15B0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B6B6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166B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E4F0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EE511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BC760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82F1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9695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BB2C9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912D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134F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FB2AF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A3468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F34A7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354B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330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9">
    <w:name w:val="Tabla con cuadrícula19"/>
    <w:basedOn w:val="Tablanormal"/>
    <w:next w:val="Tablaconcuadrcula"/>
    <w:uiPriority w:val="39"/>
    <w:rsid w:val="00B515A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FA7E1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726">
      <w:bodyDiv w:val="1"/>
      <w:marLeft w:val="0"/>
      <w:marRight w:val="0"/>
      <w:marTop w:val="0"/>
      <w:marBottom w:val="0"/>
      <w:divBdr>
        <w:top w:val="none" w:sz="0" w:space="0" w:color="auto"/>
        <w:left w:val="none" w:sz="0" w:space="0" w:color="auto"/>
        <w:bottom w:val="none" w:sz="0" w:space="0" w:color="auto"/>
        <w:right w:val="none" w:sz="0" w:space="0" w:color="auto"/>
      </w:divBdr>
      <w:divsChild>
        <w:div w:id="13845145">
          <w:marLeft w:val="1166"/>
          <w:marRight w:val="0"/>
          <w:marTop w:val="120"/>
          <w:marBottom w:val="120"/>
          <w:divBdr>
            <w:top w:val="none" w:sz="0" w:space="0" w:color="auto"/>
            <w:left w:val="none" w:sz="0" w:space="0" w:color="auto"/>
            <w:bottom w:val="none" w:sz="0" w:space="0" w:color="auto"/>
            <w:right w:val="none" w:sz="0" w:space="0" w:color="auto"/>
          </w:divBdr>
        </w:div>
      </w:divsChild>
    </w:div>
    <w:div w:id="101801578">
      <w:bodyDiv w:val="1"/>
      <w:marLeft w:val="0"/>
      <w:marRight w:val="0"/>
      <w:marTop w:val="0"/>
      <w:marBottom w:val="0"/>
      <w:divBdr>
        <w:top w:val="none" w:sz="0" w:space="0" w:color="auto"/>
        <w:left w:val="none" w:sz="0" w:space="0" w:color="auto"/>
        <w:bottom w:val="none" w:sz="0" w:space="0" w:color="auto"/>
        <w:right w:val="none" w:sz="0" w:space="0" w:color="auto"/>
      </w:divBdr>
    </w:div>
    <w:div w:id="156114615">
      <w:bodyDiv w:val="1"/>
      <w:marLeft w:val="0"/>
      <w:marRight w:val="0"/>
      <w:marTop w:val="0"/>
      <w:marBottom w:val="0"/>
      <w:divBdr>
        <w:top w:val="none" w:sz="0" w:space="0" w:color="auto"/>
        <w:left w:val="none" w:sz="0" w:space="0" w:color="auto"/>
        <w:bottom w:val="none" w:sz="0" w:space="0" w:color="auto"/>
        <w:right w:val="none" w:sz="0" w:space="0" w:color="auto"/>
      </w:divBdr>
    </w:div>
    <w:div w:id="224805590">
      <w:bodyDiv w:val="1"/>
      <w:marLeft w:val="0"/>
      <w:marRight w:val="0"/>
      <w:marTop w:val="0"/>
      <w:marBottom w:val="0"/>
      <w:divBdr>
        <w:top w:val="none" w:sz="0" w:space="0" w:color="auto"/>
        <w:left w:val="none" w:sz="0" w:space="0" w:color="auto"/>
        <w:bottom w:val="none" w:sz="0" w:space="0" w:color="auto"/>
        <w:right w:val="none" w:sz="0" w:space="0" w:color="auto"/>
      </w:divBdr>
    </w:div>
    <w:div w:id="266668216">
      <w:bodyDiv w:val="1"/>
      <w:marLeft w:val="0"/>
      <w:marRight w:val="0"/>
      <w:marTop w:val="0"/>
      <w:marBottom w:val="0"/>
      <w:divBdr>
        <w:top w:val="none" w:sz="0" w:space="0" w:color="auto"/>
        <w:left w:val="none" w:sz="0" w:space="0" w:color="auto"/>
        <w:bottom w:val="none" w:sz="0" w:space="0" w:color="auto"/>
        <w:right w:val="none" w:sz="0" w:space="0" w:color="auto"/>
      </w:divBdr>
    </w:div>
    <w:div w:id="334386450">
      <w:bodyDiv w:val="1"/>
      <w:marLeft w:val="0"/>
      <w:marRight w:val="0"/>
      <w:marTop w:val="0"/>
      <w:marBottom w:val="0"/>
      <w:divBdr>
        <w:top w:val="none" w:sz="0" w:space="0" w:color="auto"/>
        <w:left w:val="none" w:sz="0" w:space="0" w:color="auto"/>
        <w:bottom w:val="none" w:sz="0" w:space="0" w:color="auto"/>
        <w:right w:val="none" w:sz="0" w:space="0" w:color="auto"/>
      </w:divBdr>
      <w:divsChild>
        <w:div w:id="2099249829">
          <w:marLeft w:val="446"/>
          <w:marRight w:val="0"/>
          <w:marTop w:val="0"/>
          <w:marBottom w:val="0"/>
          <w:divBdr>
            <w:top w:val="none" w:sz="0" w:space="0" w:color="auto"/>
            <w:left w:val="none" w:sz="0" w:space="0" w:color="auto"/>
            <w:bottom w:val="none" w:sz="0" w:space="0" w:color="auto"/>
            <w:right w:val="none" w:sz="0" w:space="0" w:color="auto"/>
          </w:divBdr>
        </w:div>
        <w:div w:id="1883595681">
          <w:marLeft w:val="446"/>
          <w:marRight w:val="0"/>
          <w:marTop w:val="0"/>
          <w:marBottom w:val="0"/>
          <w:divBdr>
            <w:top w:val="none" w:sz="0" w:space="0" w:color="auto"/>
            <w:left w:val="none" w:sz="0" w:space="0" w:color="auto"/>
            <w:bottom w:val="none" w:sz="0" w:space="0" w:color="auto"/>
            <w:right w:val="none" w:sz="0" w:space="0" w:color="auto"/>
          </w:divBdr>
        </w:div>
        <w:div w:id="1654875173">
          <w:marLeft w:val="446"/>
          <w:marRight w:val="0"/>
          <w:marTop w:val="0"/>
          <w:marBottom w:val="0"/>
          <w:divBdr>
            <w:top w:val="none" w:sz="0" w:space="0" w:color="auto"/>
            <w:left w:val="none" w:sz="0" w:space="0" w:color="auto"/>
            <w:bottom w:val="none" w:sz="0" w:space="0" w:color="auto"/>
            <w:right w:val="none" w:sz="0" w:space="0" w:color="auto"/>
          </w:divBdr>
        </w:div>
      </w:divsChild>
    </w:div>
    <w:div w:id="543324841">
      <w:bodyDiv w:val="1"/>
      <w:marLeft w:val="0"/>
      <w:marRight w:val="0"/>
      <w:marTop w:val="0"/>
      <w:marBottom w:val="0"/>
      <w:divBdr>
        <w:top w:val="none" w:sz="0" w:space="0" w:color="auto"/>
        <w:left w:val="none" w:sz="0" w:space="0" w:color="auto"/>
        <w:bottom w:val="none" w:sz="0" w:space="0" w:color="auto"/>
        <w:right w:val="none" w:sz="0" w:space="0" w:color="auto"/>
      </w:divBdr>
    </w:div>
    <w:div w:id="811756014">
      <w:bodyDiv w:val="1"/>
      <w:marLeft w:val="0"/>
      <w:marRight w:val="0"/>
      <w:marTop w:val="0"/>
      <w:marBottom w:val="0"/>
      <w:divBdr>
        <w:top w:val="none" w:sz="0" w:space="0" w:color="auto"/>
        <w:left w:val="none" w:sz="0" w:space="0" w:color="auto"/>
        <w:bottom w:val="none" w:sz="0" w:space="0" w:color="auto"/>
        <w:right w:val="none" w:sz="0" w:space="0" w:color="auto"/>
      </w:divBdr>
    </w:div>
    <w:div w:id="845634899">
      <w:bodyDiv w:val="1"/>
      <w:marLeft w:val="0"/>
      <w:marRight w:val="0"/>
      <w:marTop w:val="0"/>
      <w:marBottom w:val="0"/>
      <w:divBdr>
        <w:top w:val="none" w:sz="0" w:space="0" w:color="auto"/>
        <w:left w:val="none" w:sz="0" w:space="0" w:color="auto"/>
        <w:bottom w:val="none" w:sz="0" w:space="0" w:color="auto"/>
        <w:right w:val="none" w:sz="0" w:space="0" w:color="auto"/>
      </w:divBdr>
    </w:div>
    <w:div w:id="906695311">
      <w:bodyDiv w:val="1"/>
      <w:marLeft w:val="0"/>
      <w:marRight w:val="0"/>
      <w:marTop w:val="0"/>
      <w:marBottom w:val="0"/>
      <w:divBdr>
        <w:top w:val="none" w:sz="0" w:space="0" w:color="auto"/>
        <w:left w:val="none" w:sz="0" w:space="0" w:color="auto"/>
        <w:bottom w:val="none" w:sz="0" w:space="0" w:color="auto"/>
        <w:right w:val="none" w:sz="0" w:space="0" w:color="auto"/>
      </w:divBdr>
    </w:div>
    <w:div w:id="1970163146">
      <w:bodyDiv w:val="1"/>
      <w:marLeft w:val="0"/>
      <w:marRight w:val="0"/>
      <w:marTop w:val="0"/>
      <w:marBottom w:val="0"/>
      <w:divBdr>
        <w:top w:val="none" w:sz="0" w:space="0" w:color="auto"/>
        <w:left w:val="none" w:sz="0" w:space="0" w:color="auto"/>
        <w:bottom w:val="none" w:sz="0" w:space="0" w:color="auto"/>
        <w:right w:val="none" w:sz="0" w:space="0" w:color="auto"/>
      </w:divBdr>
    </w:div>
    <w:div w:id="21355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mdrs.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416D-8F25-498C-8DA8-8DEC5816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Leonardo Aguilar Peña</dc:creator>
  <cp:keywords/>
  <dc:description/>
  <cp:lastModifiedBy>Cesar Ramón Contreras Manjarás</cp:lastModifiedBy>
  <cp:revision>2</cp:revision>
  <cp:lastPrinted>2019-09-10T22:48:00Z</cp:lastPrinted>
  <dcterms:created xsi:type="dcterms:W3CDTF">2019-09-23T16:44:00Z</dcterms:created>
  <dcterms:modified xsi:type="dcterms:W3CDTF">2019-09-23T16:44:00Z</dcterms:modified>
</cp:coreProperties>
</file>